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11EDE7">
      <w:pPr>
        <w:rPr>
          <w:rFonts w:hint="eastAsia" w:ascii="宋体" w:hAnsi="宋体" w:eastAsia="宋体" w:cs="宋体"/>
          <w:color w:val="auto"/>
          <w:highlight w:val="none"/>
        </w:rPr>
      </w:pPr>
    </w:p>
    <w:p w14:paraId="4AC4F715">
      <w:pPr>
        <w:pStyle w:val="10"/>
        <w:rPr>
          <w:rFonts w:hint="eastAsia" w:ascii="宋体" w:hAnsi="宋体" w:eastAsia="宋体" w:cs="宋体"/>
          <w:color w:val="auto"/>
          <w:highlight w:val="none"/>
        </w:rPr>
      </w:pPr>
    </w:p>
    <w:p w14:paraId="5F2BE1E3">
      <w:pPr>
        <w:rPr>
          <w:rFonts w:hint="eastAsia" w:ascii="宋体" w:hAnsi="宋体" w:eastAsia="宋体" w:cs="宋体"/>
          <w:color w:val="auto"/>
          <w:highlight w:val="none"/>
        </w:rPr>
      </w:pPr>
    </w:p>
    <w:p w14:paraId="491112D7">
      <w:pPr>
        <w:rPr>
          <w:rFonts w:hint="eastAsia" w:ascii="宋体" w:hAnsi="宋体" w:eastAsia="宋体" w:cs="宋体"/>
          <w:color w:val="auto"/>
          <w:highlight w:val="none"/>
        </w:rPr>
      </w:pPr>
    </w:p>
    <w:p w14:paraId="3039827E">
      <w:pPr>
        <w:pStyle w:val="22"/>
        <w:spacing w:after="0" w:line="1300" w:lineRule="exact"/>
        <w:ind w:left="0" w:leftChars="0" w:firstLine="0" w:firstLineChars="0"/>
        <w:jc w:val="center"/>
        <w:rPr>
          <w:rFonts w:hint="eastAsia" w:ascii="宋体" w:hAnsi="宋体" w:eastAsia="宋体" w:cs="宋体"/>
          <w:b/>
          <w:bCs/>
          <w:color w:val="auto"/>
          <w:sz w:val="96"/>
          <w:szCs w:val="96"/>
          <w:highlight w:val="none"/>
        </w:rPr>
      </w:pPr>
      <w:r>
        <w:rPr>
          <w:rFonts w:hint="eastAsia" w:ascii="宋体" w:hAnsi="宋体" w:eastAsia="宋体" w:cs="宋体"/>
          <w:b/>
          <w:bCs/>
          <w:color w:val="auto"/>
          <w:sz w:val="96"/>
          <w:szCs w:val="96"/>
          <w:highlight w:val="none"/>
          <w:lang w:eastAsia="zh-CN"/>
        </w:rPr>
        <w:t>招标</w:t>
      </w:r>
      <w:r>
        <w:rPr>
          <w:rFonts w:hint="eastAsia" w:ascii="宋体" w:hAnsi="宋体" w:eastAsia="宋体" w:cs="宋体"/>
          <w:b/>
          <w:bCs/>
          <w:color w:val="auto"/>
          <w:sz w:val="96"/>
          <w:szCs w:val="96"/>
          <w:highlight w:val="none"/>
        </w:rPr>
        <w:t>文件</w:t>
      </w:r>
    </w:p>
    <w:p w14:paraId="36241B9C">
      <w:pPr>
        <w:jc w:val="center"/>
        <w:rPr>
          <w:rFonts w:hint="eastAsia" w:ascii="宋体" w:hAnsi="宋体" w:eastAsia="宋体" w:cs="宋体"/>
          <w:color w:val="auto"/>
          <w:sz w:val="52"/>
          <w:szCs w:val="52"/>
          <w:highlight w:val="none"/>
        </w:rPr>
      </w:pPr>
      <w:r>
        <w:rPr>
          <w:rFonts w:hint="eastAsia" w:ascii="宋体" w:hAnsi="宋体" w:eastAsia="宋体" w:cs="宋体"/>
          <w:color w:val="auto"/>
          <w:sz w:val="52"/>
          <w:szCs w:val="52"/>
          <w:highlight w:val="none"/>
        </w:rPr>
        <w:t>【服务类】</w:t>
      </w:r>
    </w:p>
    <w:p w14:paraId="75FED69D">
      <w:pPr>
        <w:rPr>
          <w:rFonts w:hint="eastAsia" w:ascii="宋体" w:hAnsi="宋体" w:eastAsia="宋体" w:cs="宋体"/>
          <w:color w:val="auto"/>
          <w:sz w:val="44"/>
          <w:szCs w:val="44"/>
          <w:highlight w:val="none"/>
        </w:rPr>
      </w:pPr>
    </w:p>
    <w:p w14:paraId="426B8B00">
      <w:pPr>
        <w:pStyle w:val="22"/>
        <w:ind w:left="0" w:leftChars="0" w:firstLine="0" w:firstLineChars="0"/>
        <w:rPr>
          <w:rFonts w:hint="eastAsia" w:ascii="宋体" w:hAnsi="宋体" w:eastAsia="宋体" w:cs="宋体"/>
          <w:color w:val="auto"/>
          <w:highlight w:val="none"/>
        </w:rPr>
      </w:pPr>
      <w:r>
        <w:rPr>
          <w:rFonts w:hint="eastAsia" w:ascii="宋体" w:hAnsi="宋体" w:eastAsia="宋体" w:cs="宋体"/>
          <w:color w:val="auto"/>
          <w:highlight w:val="none"/>
        </w:rPr>
        <w:t xml:space="preserve"> </w:t>
      </w:r>
    </w:p>
    <w:p w14:paraId="76892DCF">
      <w:pPr>
        <w:pStyle w:val="22"/>
        <w:ind w:left="0" w:leftChars="0" w:firstLine="0" w:firstLineChars="0"/>
        <w:jc w:val="center"/>
        <w:rPr>
          <w:rFonts w:hint="eastAsia" w:ascii="宋体" w:hAnsi="宋体" w:eastAsia="宋体" w:cs="宋体"/>
          <w:b/>
          <w:color w:val="auto"/>
          <w:sz w:val="44"/>
          <w:szCs w:val="44"/>
          <w:highlight w:val="none"/>
          <w:lang w:eastAsia="zh-CN"/>
        </w:rPr>
      </w:pPr>
      <w:r>
        <w:rPr>
          <w:rFonts w:hint="eastAsia" w:ascii="宋体" w:hAnsi="宋体" w:eastAsia="宋体" w:cs="宋体"/>
          <w:b/>
          <w:color w:val="auto"/>
          <w:sz w:val="44"/>
          <w:szCs w:val="44"/>
          <w:highlight w:val="none"/>
        </w:rPr>
        <w:t>项目编号：</w:t>
      </w:r>
      <w:r>
        <w:rPr>
          <w:rFonts w:hint="eastAsia" w:ascii="宋体" w:hAnsi="宋体" w:cs="宋体"/>
          <w:b/>
          <w:color w:val="auto"/>
          <w:sz w:val="44"/>
          <w:szCs w:val="44"/>
          <w:highlight w:val="none"/>
          <w:lang w:eastAsia="zh-CN"/>
        </w:rPr>
        <w:t>3324-DH2532F4114(BAZXDL-2025-00411)</w:t>
      </w:r>
    </w:p>
    <w:p w14:paraId="4144B732">
      <w:pPr>
        <w:jc w:val="center"/>
        <w:rPr>
          <w:rFonts w:hint="eastAsia" w:ascii="宋体" w:hAnsi="宋体" w:eastAsia="宋体" w:cs="宋体"/>
          <w:b/>
          <w:color w:val="auto"/>
          <w:sz w:val="44"/>
          <w:szCs w:val="44"/>
          <w:highlight w:val="none"/>
          <w:lang w:eastAsia="zh-CN"/>
        </w:rPr>
      </w:pPr>
      <w:r>
        <w:rPr>
          <w:rFonts w:hint="eastAsia" w:ascii="宋体" w:hAnsi="宋体" w:eastAsia="宋体" w:cs="宋体"/>
          <w:b/>
          <w:color w:val="auto"/>
          <w:sz w:val="44"/>
          <w:szCs w:val="44"/>
          <w:highlight w:val="none"/>
        </w:rPr>
        <w:t>项目名称：</w:t>
      </w:r>
      <w:r>
        <w:rPr>
          <w:rFonts w:hint="eastAsia" w:ascii="宋体" w:hAnsi="宋体" w:cs="宋体"/>
          <w:b/>
          <w:color w:val="auto"/>
          <w:sz w:val="44"/>
          <w:szCs w:val="44"/>
          <w:highlight w:val="none"/>
          <w:lang w:eastAsia="zh-CN"/>
        </w:rPr>
        <w:t>食堂管理服务项目</w:t>
      </w:r>
    </w:p>
    <w:p w14:paraId="07E5CA8F">
      <w:pPr>
        <w:pStyle w:val="22"/>
        <w:rPr>
          <w:rFonts w:hint="eastAsia" w:ascii="宋体" w:hAnsi="宋体" w:eastAsia="宋体" w:cs="宋体"/>
          <w:color w:val="auto"/>
          <w:highlight w:val="none"/>
        </w:rPr>
      </w:pPr>
      <w:r>
        <w:rPr>
          <w:rFonts w:hint="eastAsia" w:ascii="宋体" w:hAnsi="宋体" w:eastAsia="宋体" w:cs="宋体"/>
          <w:color w:val="auto"/>
          <w:highlight w:val="none"/>
        </w:rPr>
        <w:drawing>
          <wp:anchor distT="0" distB="0" distL="114300" distR="114300" simplePos="0" relativeHeight="251659264" behindDoc="1" locked="0" layoutInCell="1" allowOverlap="1">
            <wp:simplePos x="0" y="0"/>
            <wp:positionH relativeFrom="column">
              <wp:posOffset>1248410</wp:posOffset>
            </wp:positionH>
            <wp:positionV relativeFrom="paragraph">
              <wp:posOffset>170815</wp:posOffset>
            </wp:positionV>
            <wp:extent cx="2633980" cy="2094230"/>
            <wp:effectExtent l="0" t="0" r="13970" b="1270"/>
            <wp:wrapTight wrapText="bothSides">
              <wp:wrapPolygon>
                <wp:start x="0" y="0"/>
                <wp:lineTo x="0" y="21417"/>
                <wp:lineTo x="21402" y="21417"/>
                <wp:lineTo x="21402" y="0"/>
                <wp:lineTo x="0" y="0"/>
              </wp:wrapPolygon>
            </wp:wrapTight>
            <wp:docPr id="1" name="图片 2" descr="公司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公司logo"/>
                    <pic:cNvPicPr>
                      <a:picLocks noChangeAspect="1"/>
                    </pic:cNvPicPr>
                  </pic:nvPicPr>
                  <pic:blipFill>
                    <a:blip r:embed="rId7" cstate="print"/>
                    <a:stretch>
                      <a:fillRect/>
                    </a:stretch>
                  </pic:blipFill>
                  <pic:spPr>
                    <a:xfrm>
                      <a:off x="0" y="0"/>
                      <a:ext cx="2633980" cy="2094230"/>
                    </a:xfrm>
                    <a:prstGeom prst="rect">
                      <a:avLst/>
                    </a:prstGeom>
                    <a:noFill/>
                    <a:ln>
                      <a:noFill/>
                    </a:ln>
                  </pic:spPr>
                </pic:pic>
              </a:graphicData>
            </a:graphic>
          </wp:anchor>
        </w:drawing>
      </w:r>
    </w:p>
    <w:p w14:paraId="2DC2ED0B">
      <w:pPr>
        <w:jc w:val="center"/>
        <w:rPr>
          <w:rFonts w:hint="eastAsia" w:ascii="宋体" w:hAnsi="宋体" w:eastAsia="宋体" w:cs="宋体"/>
          <w:b/>
          <w:color w:val="auto"/>
          <w:sz w:val="52"/>
          <w:szCs w:val="52"/>
          <w:highlight w:val="none"/>
        </w:rPr>
      </w:pPr>
    </w:p>
    <w:p w14:paraId="4516E71F">
      <w:pPr>
        <w:rPr>
          <w:rFonts w:hint="eastAsia" w:ascii="宋体" w:hAnsi="宋体" w:eastAsia="宋体" w:cs="宋体"/>
          <w:b/>
          <w:color w:val="auto"/>
          <w:sz w:val="52"/>
          <w:szCs w:val="52"/>
          <w:highlight w:val="none"/>
        </w:rPr>
      </w:pPr>
    </w:p>
    <w:p w14:paraId="631DC327">
      <w:pPr>
        <w:rPr>
          <w:rFonts w:hint="eastAsia" w:ascii="宋体" w:hAnsi="宋体" w:eastAsia="宋体" w:cs="宋体"/>
          <w:color w:val="auto"/>
          <w:sz w:val="52"/>
          <w:szCs w:val="52"/>
          <w:highlight w:val="none"/>
        </w:rPr>
      </w:pPr>
    </w:p>
    <w:p w14:paraId="1722E52D">
      <w:pPr>
        <w:jc w:val="center"/>
        <w:rPr>
          <w:rFonts w:hint="eastAsia" w:ascii="宋体" w:hAnsi="宋体" w:eastAsia="宋体" w:cs="宋体"/>
          <w:b/>
          <w:color w:val="auto"/>
          <w:sz w:val="44"/>
          <w:szCs w:val="44"/>
          <w:highlight w:val="none"/>
        </w:rPr>
      </w:pPr>
    </w:p>
    <w:p w14:paraId="2C230441">
      <w:pPr>
        <w:jc w:val="center"/>
        <w:rPr>
          <w:rFonts w:hint="eastAsia" w:ascii="宋体" w:hAnsi="宋体" w:eastAsia="宋体" w:cs="宋体"/>
          <w:b/>
          <w:color w:val="auto"/>
          <w:sz w:val="44"/>
          <w:szCs w:val="44"/>
          <w:highlight w:val="none"/>
        </w:rPr>
      </w:pPr>
    </w:p>
    <w:p w14:paraId="651D2391">
      <w:pPr>
        <w:rPr>
          <w:rFonts w:hint="eastAsia" w:ascii="宋体" w:hAnsi="宋体" w:eastAsia="宋体" w:cs="宋体"/>
          <w:b/>
          <w:color w:val="auto"/>
          <w:sz w:val="44"/>
          <w:szCs w:val="44"/>
          <w:highlight w:val="none"/>
        </w:rPr>
      </w:pPr>
    </w:p>
    <w:p w14:paraId="54BFD5DC">
      <w:pPr>
        <w:jc w:val="center"/>
        <w:rPr>
          <w:rFonts w:hint="eastAsia" w:ascii="宋体" w:hAnsi="宋体" w:eastAsia="宋体" w:cs="宋体"/>
          <w:b/>
          <w:color w:val="auto"/>
          <w:sz w:val="44"/>
          <w:szCs w:val="44"/>
          <w:highlight w:val="none"/>
        </w:rPr>
      </w:pPr>
    </w:p>
    <w:p w14:paraId="1464E179">
      <w:pPr>
        <w:jc w:val="center"/>
        <w:rPr>
          <w:rFonts w:hint="eastAsia" w:ascii="宋体" w:hAnsi="宋体" w:eastAsia="宋体" w:cs="宋体"/>
          <w:b/>
          <w:color w:val="auto"/>
          <w:sz w:val="44"/>
          <w:szCs w:val="44"/>
          <w:highlight w:val="none"/>
        </w:rPr>
      </w:pPr>
      <w:r>
        <w:rPr>
          <w:rFonts w:hint="eastAsia" w:ascii="宋体" w:hAnsi="宋体" w:eastAsia="宋体" w:cs="宋体"/>
          <w:b/>
          <w:color w:val="auto"/>
          <w:sz w:val="44"/>
          <w:szCs w:val="44"/>
          <w:highlight w:val="none"/>
        </w:rPr>
        <w:t>深圳市东海国际招标有限公司</w:t>
      </w:r>
    </w:p>
    <w:p w14:paraId="26591873">
      <w:pPr>
        <w:pStyle w:val="22"/>
        <w:rPr>
          <w:rFonts w:hint="eastAsia" w:ascii="宋体" w:hAnsi="宋体" w:eastAsia="宋体" w:cs="宋体"/>
          <w:color w:val="auto"/>
          <w:highlight w:val="none"/>
        </w:rPr>
      </w:pPr>
    </w:p>
    <w:p w14:paraId="2BACD12F">
      <w:pPr>
        <w:jc w:val="center"/>
        <w:rPr>
          <w:rFonts w:hint="eastAsia" w:ascii="宋体" w:hAnsi="宋体" w:eastAsia="宋体" w:cs="宋体"/>
          <w:b/>
          <w:snapToGrid w:val="0"/>
          <w:color w:val="auto"/>
          <w:sz w:val="44"/>
          <w:szCs w:val="44"/>
          <w:highlight w:val="none"/>
        </w:rPr>
      </w:pPr>
      <w:r>
        <w:rPr>
          <w:rFonts w:hint="eastAsia" w:ascii="宋体" w:hAnsi="宋体" w:eastAsia="宋体" w:cs="宋体"/>
          <w:b/>
          <w:bCs/>
          <w:color w:val="auto"/>
          <w:sz w:val="44"/>
          <w:szCs w:val="44"/>
          <w:highlight w:val="none"/>
        </w:rPr>
        <w:t>二〇二</w:t>
      </w:r>
      <w:r>
        <w:rPr>
          <w:rFonts w:hint="eastAsia" w:ascii="宋体" w:hAnsi="宋体" w:cs="宋体"/>
          <w:b/>
          <w:bCs/>
          <w:color w:val="auto"/>
          <w:sz w:val="44"/>
          <w:szCs w:val="44"/>
          <w:highlight w:val="none"/>
          <w:lang w:eastAsia="zh-CN"/>
        </w:rPr>
        <w:t>五</w:t>
      </w:r>
      <w:r>
        <w:rPr>
          <w:rFonts w:hint="eastAsia" w:ascii="宋体" w:hAnsi="宋体" w:eastAsia="宋体" w:cs="宋体"/>
          <w:b/>
          <w:bCs/>
          <w:color w:val="auto"/>
          <w:sz w:val="44"/>
          <w:szCs w:val="44"/>
          <w:highlight w:val="none"/>
        </w:rPr>
        <w:t xml:space="preserve">年 </w:t>
      </w:r>
      <w:r>
        <w:rPr>
          <w:rFonts w:hint="eastAsia" w:ascii="宋体" w:hAnsi="宋体" w:eastAsia="宋体" w:cs="宋体"/>
          <w:b/>
          <w:snapToGrid w:val="0"/>
          <w:color w:val="auto"/>
          <w:sz w:val="44"/>
          <w:szCs w:val="44"/>
          <w:highlight w:val="none"/>
        </w:rPr>
        <w:t>· 中国深圳</w:t>
      </w:r>
    </w:p>
    <w:p w14:paraId="4E8BE578">
      <w:pPr>
        <w:pStyle w:val="2"/>
        <w:rPr>
          <w:sz w:val="30"/>
          <w:szCs w:val="30"/>
          <w:highlight w:val="none"/>
        </w:rPr>
      </w:pPr>
      <w:r>
        <w:rPr>
          <w:rFonts w:hint="eastAsia" w:ascii="宋体" w:hAnsi="宋体" w:eastAsia="宋体" w:cs="宋体"/>
          <w:b/>
          <w:snapToGrid w:val="0"/>
          <w:color w:val="auto"/>
          <w:sz w:val="44"/>
          <w:highlight w:val="none"/>
        </w:rPr>
        <w:br w:type="page"/>
      </w:r>
      <w:r>
        <w:rPr>
          <w:rFonts w:hint="eastAsia" w:cs="黑体"/>
          <w:sz w:val="30"/>
          <w:szCs w:val="30"/>
          <w:highlight w:val="none"/>
        </w:rPr>
        <w:t>警示条款</w:t>
      </w:r>
    </w:p>
    <w:p w14:paraId="7C3FC819">
      <w:pPr>
        <w:ind w:firstLine="442" w:firstLineChars="200"/>
        <w:rPr>
          <w:rFonts w:ascii="宋体"/>
          <w:sz w:val="22"/>
          <w:highlight w:val="none"/>
        </w:rPr>
      </w:pPr>
      <w:r>
        <w:rPr>
          <w:rFonts w:hint="eastAsia" w:ascii="宋体"/>
          <w:b/>
          <w:bCs/>
          <w:sz w:val="22"/>
          <w:highlight w:val="none"/>
        </w:rPr>
        <w:t>一、《深圳经济特区政府采购条例》第五十七条</w:t>
      </w:r>
      <w:r>
        <w:rPr>
          <w:rFonts w:hint="eastAsia" w:ascii="宋体"/>
          <w:sz w:val="22"/>
          <w:highlight w:val="none"/>
        </w:rPr>
        <w:t xml:space="preserve"> 供应商在政府采购中，有下列行为之一的，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构成犯罪的，依法追究刑事责任：</w:t>
      </w:r>
    </w:p>
    <w:p w14:paraId="1747CC13">
      <w:pPr>
        <w:ind w:firstLine="440" w:firstLineChars="200"/>
        <w:rPr>
          <w:rFonts w:ascii="宋体"/>
          <w:sz w:val="22"/>
          <w:highlight w:val="none"/>
        </w:rPr>
      </w:pPr>
      <w:r>
        <w:rPr>
          <w:rFonts w:hint="eastAsia" w:ascii="宋体"/>
          <w:sz w:val="22"/>
          <w:highlight w:val="none"/>
        </w:rPr>
        <w:t>（一）在采购活动中应当回避而未回避的；</w:t>
      </w:r>
    </w:p>
    <w:p w14:paraId="3CD157B7">
      <w:pPr>
        <w:ind w:firstLine="440" w:firstLineChars="200"/>
        <w:rPr>
          <w:rFonts w:ascii="宋体"/>
          <w:sz w:val="22"/>
          <w:highlight w:val="none"/>
        </w:rPr>
      </w:pPr>
      <w:r>
        <w:rPr>
          <w:rFonts w:hint="eastAsia" w:ascii="宋体"/>
          <w:sz w:val="22"/>
          <w:highlight w:val="none"/>
        </w:rPr>
        <w:t>（二）未按本条例规定签订、履行采购合同，造成严重后果的；</w:t>
      </w:r>
    </w:p>
    <w:p w14:paraId="6B0A4D5B">
      <w:pPr>
        <w:ind w:firstLine="440" w:firstLineChars="200"/>
        <w:rPr>
          <w:rFonts w:ascii="宋体"/>
          <w:sz w:val="22"/>
          <w:highlight w:val="none"/>
        </w:rPr>
      </w:pPr>
      <w:r>
        <w:rPr>
          <w:rFonts w:hint="eastAsia" w:ascii="宋体"/>
          <w:sz w:val="22"/>
          <w:highlight w:val="none"/>
        </w:rPr>
        <w:t>（三）隐瞒真实情况，提供虚假资料的；</w:t>
      </w:r>
    </w:p>
    <w:p w14:paraId="58CD3C33">
      <w:pPr>
        <w:ind w:firstLine="440" w:firstLineChars="200"/>
        <w:rPr>
          <w:rFonts w:ascii="宋体"/>
          <w:sz w:val="22"/>
          <w:highlight w:val="none"/>
        </w:rPr>
      </w:pPr>
      <w:r>
        <w:rPr>
          <w:rFonts w:hint="eastAsia" w:ascii="宋体"/>
          <w:sz w:val="22"/>
          <w:highlight w:val="none"/>
        </w:rPr>
        <w:t>（四）以非法手段排斥其他供应商参与竞争的；</w:t>
      </w:r>
    </w:p>
    <w:p w14:paraId="6241E255">
      <w:pPr>
        <w:ind w:firstLine="440" w:firstLineChars="200"/>
        <w:rPr>
          <w:rFonts w:ascii="宋体"/>
          <w:sz w:val="22"/>
          <w:highlight w:val="none"/>
        </w:rPr>
      </w:pPr>
      <w:r>
        <w:rPr>
          <w:rFonts w:hint="eastAsia" w:ascii="宋体"/>
          <w:sz w:val="22"/>
          <w:highlight w:val="none"/>
        </w:rPr>
        <w:t>（五）与其他采购参加人串通投标的；</w:t>
      </w:r>
    </w:p>
    <w:p w14:paraId="05944D11">
      <w:pPr>
        <w:ind w:firstLine="440" w:firstLineChars="200"/>
        <w:rPr>
          <w:rFonts w:ascii="宋体"/>
          <w:sz w:val="22"/>
          <w:highlight w:val="none"/>
        </w:rPr>
      </w:pPr>
      <w:r>
        <w:rPr>
          <w:rFonts w:hint="eastAsia" w:ascii="宋体"/>
          <w:sz w:val="22"/>
          <w:highlight w:val="none"/>
        </w:rPr>
        <w:t>（六）恶意投诉的；</w:t>
      </w:r>
    </w:p>
    <w:p w14:paraId="07698C6E">
      <w:pPr>
        <w:ind w:firstLine="440" w:firstLineChars="200"/>
        <w:rPr>
          <w:rFonts w:ascii="宋体"/>
          <w:sz w:val="22"/>
          <w:highlight w:val="none"/>
        </w:rPr>
      </w:pPr>
      <w:r>
        <w:rPr>
          <w:rFonts w:hint="eastAsia" w:ascii="宋体"/>
          <w:sz w:val="22"/>
          <w:highlight w:val="none"/>
        </w:rPr>
        <w:t>（七）向采购项目相关人行贿或者提供其他不当利益的；</w:t>
      </w:r>
    </w:p>
    <w:p w14:paraId="54543FE4">
      <w:pPr>
        <w:ind w:firstLine="440" w:firstLineChars="200"/>
        <w:rPr>
          <w:rFonts w:ascii="宋体"/>
          <w:sz w:val="22"/>
          <w:highlight w:val="none"/>
        </w:rPr>
      </w:pPr>
      <w:r>
        <w:rPr>
          <w:rFonts w:hint="eastAsia" w:ascii="宋体"/>
          <w:sz w:val="22"/>
          <w:highlight w:val="none"/>
        </w:rPr>
        <w:t>（八）阻碍、抗拒主管部门监督检查的；</w:t>
      </w:r>
    </w:p>
    <w:p w14:paraId="380934E1">
      <w:pPr>
        <w:ind w:firstLine="440" w:firstLineChars="200"/>
        <w:rPr>
          <w:rFonts w:ascii="宋体"/>
          <w:sz w:val="22"/>
          <w:highlight w:val="none"/>
        </w:rPr>
      </w:pPr>
      <w:r>
        <w:rPr>
          <w:rFonts w:hint="eastAsia" w:ascii="宋体"/>
          <w:sz w:val="22"/>
          <w:highlight w:val="none"/>
        </w:rPr>
        <w:t>（九）其他违反本条例规定的行为。</w:t>
      </w:r>
    </w:p>
    <w:p w14:paraId="39F2E516">
      <w:pPr>
        <w:ind w:firstLine="442" w:firstLineChars="200"/>
        <w:rPr>
          <w:rFonts w:ascii="宋体"/>
          <w:sz w:val="22"/>
          <w:highlight w:val="none"/>
        </w:rPr>
      </w:pPr>
      <w:r>
        <w:rPr>
          <w:rFonts w:hint="eastAsia" w:ascii="宋体"/>
          <w:b/>
          <w:bCs/>
          <w:sz w:val="22"/>
          <w:highlight w:val="none"/>
        </w:rPr>
        <w:t>二、《深圳经济特区政府采购条例实施细则》第七十</w:t>
      </w:r>
      <w:r>
        <w:rPr>
          <w:rFonts w:hint="eastAsia" w:ascii="宋体"/>
          <w:b/>
          <w:bCs/>
          <w:sz w:val="22"/>
          <w:highlight w:val="none"/>
          <w:lang w:eastAsia="zh-CN"/>
        </w:rPr>
        <w:t>九</w:t>
      </w:r>
      <w:r>
        <w:rPr>
          <w:rFonts w:hint="eastAsia" w:ascii="宋体"/>
          <w:b/>
          <w:bCs/>
          <w:sz w:val="22"/>
          <w:highlight w:val="none"/>
        </w:rPr>
        <w:t xml:space="preserve">条 </w:t>
      </w:r>
      <w:r>
        <w:rPr>
          <w:rFonts w:hint="eastAsia" w:ascii="宋体"/>
          <w:sz w:val="22"/>
          <w:highlight w:val="none"/>
        </w:rPr>
        <w:t>供应商有下列情形的，属于采购条例所称的串通投标行为，按照采购条例第五十七条有关规定处理：</w:t>
      </w:r>
    </w:p>
    <w:p w14:paraId="68555A5E">
      <w:pPr>
        <w:ind w:firstLine="440" w:firstLineChars="200"/>
        <w:rPr>
          <w:rFonts w:ascii="宋体"/>
          <w:sz w:val="22"/>
          <w:highlight w:val="none"/>
        </w:rPr>
      </w:pPr>
      <w:r>
        <w:rPr>
          <w:rFonts w:hint="eastAsia" w:ascii="宋体"/>
          <w:sz w:val="22"/>
          <w:highlight w:val="none"/>
        </w:rPr>
        <w:t>（一）投标供应商之间相互约定给予未中标的供应商利益补偿；</w:t>
      </w:r>
    </w:p>
    <w:p w14:paraId="0789C7F0">
      <w:pPr>
        <w:ind w:firstLine="440" w:firstLineChars="200"/>
        <w:rPr>
          <w:rFonts w:ascii="宋体"/>
          <w:sz w:val="22"/>
          <w:highlight w:val="none"/>
        </w:rPr>
      </w:pPr>
      <w:r>
        <w:rPr>
          <w:rFonts w:hint="eastAsia" w:ascii="宋体"/>
          <w:sz w:val="22"/>
          <w:highlight w:val="none"/>
        </w:rPr>
        <w:t>（二）不同投标供应商的法定代表人、主要经营负责人、项目投标授权代表人、项目负责人、主要技术人员为同一人、属同一单位或者在同一单位缴纳社会保险；</w:t>
      </w:r>
    </w:p>
    <w:p w14:paraId="51193CFD">
      <w:pPr>
        <w:ind w:firstLine="440" w:firstLineChars="200"/>
        <w:rPr>
          <w:rFonts w:ascii="宋体"/>
          <w:sz w:val="22"/>
          <w:highlight w:val="none"/>
        </w:rPr>
      </w:pPr>
      <w:r>
        <w:rPr>
          <w:rFonts w:hint="eastAsia" w:ascii="宋体"/>
          <w:sz w:val="22"/>
          <w:highlight w:val="none"/>
        </w:rPr>
        <w:t>（三）不同投标供应商的投标文件由同一单位或者同一人编制，或者由同一人分阶段参与编制的；</w:t>
      </w:r>
    </w:p>
    <w:p w14:paraId="79B57B31">
      <w:pPr>
        <w:ind w:firstLine="440" w:firstLineChars="200"/>
        <w:rPr>
          <w:rFonts w:ascii="宋体"/>
          <w:sz w:val="22"/>
          <w:highlight w:val="none"/>
        </w:rPr>
      </w:pPr>
      <w:r>
        <w:rPr>
          <w:rFonts w:hint="eastAsia" w:ascii="宋体"/>
          <w:sz w:val="22"/>
          <w:highlight w:val="none"/>
        </w:rPr>
        <w:t>（四）不同投标供应商的投标文件或部分投标文件相互混装；</w:t>
      </w:r>
    </w:p>
    <w:p w14:paraId="0584D685">
      <w:pPr>
        <w:ind w:firstLine="440" w:firstLineChars="200"/>
        <w:rPr>
          <w:rFonts w:ascii="宋体"/>
          <w:sz w:val="22"/>
          <w:highlight w:val="none"/>
        </w:rPr>
      </w:pPr>
      <w:r>
        <w:rPr>
          <w:rFonts w:hint="eastAsia" w:ascii="宋体"/>
          <w:sz w:val="22"/>
          <w:highlight w:val="none"/>
        </w:rPr>
        <w:t>（五）不同投标供应商的投标文件内容存在非正常一致；</w:t>
      </w:r>
    </w:p>
    <w:p w14:paraId="70C0A628">
      <w:pPr>
        <w:ind w:firstLine="440" w:firstLineChars="200"/>
        <w:rPr>
          <w:rFonts w:ascii="宋体"/>
          <w:sz w:val="22"/>
          <w:highlight w:val="none"/>
        </w:rPr>
      </w:pPr>
      <w:r>
        <w:rPr>
          <w:rFonts w:hint="eastAsia" w:ascii="宋体"/>
          <w:sz w:val="22"/>
          <w:highlight w:val="none"/>
        </w:rPr>
        <w:t>（六）由同一单位工作人员为两家以上（含两家）供应商进行同一项投标活动的；</w:t>
      </w:r>
    </w:p>
    <w:p w14:paraId="0758DE2F">
      <w:pPr>
        <w:ind w:firstLine="440" w:firstLineChars="200"/>
        <w:rPr>
          <w:rFonts w:ascii="宋体"/>
          <w:sz w:val="22"/>
          <w:highlight w:val="none"/>
        </w:rPr>
      </w:pPr>
      <w:r>
        <w:rPr>
          <w:rFonts w:hint="eastAsia" w:ascii="宋体"/>
          <w:sz w:val="22"/>
          <w:highlight w:val="none"/>
        </w:rPr>
        <w:t>（七）主管部门依照法律、法规认定的其他情形。</w:t>
      </w:r>
    </w:p>
    <w:p w14:paraId="39712230">
      <w:pPr>
        <w:ind w:firstLine="442" w:firstLineChars="200"/>
        <w:rPr>
          <w:rFonts w:ascii="宋体"/>
          <w:sz w:val="22"/>
          <w:highlight w:val="none"/>
        </w:rPr>
      </w:pPr>
      <w:r>
        <w:rPr>
          <w:rFonts w:hint="eastAsia" w:ascii="宋体"/>
          <w:b/>
          <w:bCs/>
          <w:sz w:val="22"/>
          <w:highlight w:val="none"/>
        </w:rPr>
        <w:t>三、《深圳经济特区政府采购条例实施细则》第</w:t>
      </w:r>
      <w:r>
        <w:rPr>
          <w:rFonts w:hint="eastAsia" w:ascii="宋体"/>
          <w:b/>
          <w:bCs/>
          <w:sz w:val="22"/>
          <w:highlight w:val="none"/>
          <w:lang w:eastAsia="zh-CN"/>
        </w:rPr>
        <w:t>八</w:t>
      </w:r>
      <w:r>
        <w:rPr>
          <w:rFonts w:hint="eastAsia" w:ascii="宋体"/>
          <w:b/>
          <w:bCs/>
          <w:sz w:val="22"/>
          <w:highlight w:val="none"/>
        </w:rPr>
        <w:t>十</w:t>
      </w:r>
      <w:r>
        <w:rPr>
          <w:rFonts w:hint="eastAsia" w:ascii="宋体"/>
          <w:b/>
          <w:bCs/>
          <w:sz w:val="22"/>
          <w:highlight w:val="none"/>
          <w:lang w:eastAsia="zh-CN"/>
        </w:rPr>
        <w:t>一</w:t>
      </w:r>
      <w:r>
        <w:rPr>
          <w:rFonts w:hint="eastAsia" w:ascii="宋体"/>
          <w:b/>
          <w:bCs/>
          <w:sz w:val="22"/>
          <w:highlight w:val="none"/>
        </w:rPr>
        <w:t xml:space="preserve">条 </w:t>
      </w:r>
      <w:r>
        <w:rPr>
          <w:rFonts w:hint="eastAsia" w:ascii="宋体"/>
          <w:sz w:val="22"/>
          <w:highlight w:val="none"/>
        </w:rPr>
        <w:t>供应商有下列情形之一的，属于隐瞒真实情况，提供虚假资料，按照采购条例第五十七条的有关规定处理：</w:t>
      </w:r>
    </w:p>
    <w:p w14:paraId="07E4E7F8">
      <w:pPr>
        <w:ind w:firstLine="440" w:firstLineChars="200"/>
        <w:rPr>
          <w:rFonts w:hint="eastAsia" w:ascii="宋体"/>
          <w:sz w:val="22"/>
          <w:highlight w:val="none"/>
        </w:rPr>
      </w:pPr>
      <w:r>
        <w:rPr>
          <w:rFonts w:hint="eastAsia" w:ascii="宋体"/>
          <w:sz w:val="22"/>
          <w:highlight w:val="none"/>
        </w:rPr>
        <w:t>（一）通过转让或者租借等方式从其他单位获取资格或者资质证书投标的；</w:t>
      </w:r>
    </w:p>
    <w:p w14:paraId="71A390C2">
      <w:pPr>
        <w:ind w:firstLine="440" w:firstLineChars="200"/>
        <w:rPr>
          <w:rFonts w:hint="eastAsia" w:ascii="宋体"/>
          <w:sz w:val="22"/>
          <w:highlight w:val="none"/>
        </w:rPr>
      </w:pPr>
      <w:r>
        <w:rPr>
          <w:rFonts w:hint="eastAsia" w:ascii="宋体"/>
          <w:sz w:val="22"/>
          <w:highlight w:val="none"/>
        </w:rPr>
        <w:t>（二）由其他单位或者其他单位负责人在投标供应商编制的投标文件上加盖印章或者签字的；</w:t>
      </w:r>
    </w:p>
    <w:p w14:paraId="4FC513AA">
      <w:pPr>
        <w:ind w:firstLine="440" w:firstLineChars="200"/>
        <w:rPr>
          <w:rFonts w:hint="eastAsia" w:ascii="宋体"/>
          <w:sz w:val="22"/>
          <w:highlight w:val="none"/>
        </w:rPr>
      </w:pPr>
      <w:r>
        <w:rPr>
          <w:rFonts w:hint="eastAsia" w:ascii="宋体"/>
          <w:sz w:val="22"/>
          <w:highlight w:val="none"/>
        </w:rPr>
        <w:t>（三）项目负责人或者主要技术人员不是本单位人员的；</w:t>
      </w:r>
    </w:p>
    <w:p w14:paraId="4AA3A417">
      <w:pPr>
        <w:ind w:firstLine="440" w:firstLineChars="200"/>
        <w:rPr>
          <w:rFonts w:hint="eastAsia" w:ascii="宋体"/>
          <w:sz w:val="22"/>
          <w:highlight w:val="none"/>
        </w:rPr>
      </w:pPr>
      <w:r>
        <w:rPr>
          <w:rFonts w:hint="eastAsia" w:ascii="宋体"/>
          <w:sz w:val="22"/>
          <w:highlight w:val="none"/>
        </w:rPr>
        <w:t>（四）投标保证金不是从投标供应商基本账户转出的；</w:t>
      </w:r>
    </w:p>
    <w:p w14:paraId="189CA42E">
      <w:pPr>
        <w:ind w:firstLine="440" w:firstLineChars="200"/>
        <w:rPr>
          <w:rFonts w:hint="eastAsia" w:ascii="宋体"/>
          <w:sz w:val="22"/>
          <w:highlight w:val="none"/>
        </w:rPr>
      </w:pPr>
      <w:r>
        <w:rPr>
          <w:rFonts w:hint="eastAsia" w:ascii="宋体"/>
          <w:sz w:val="22"/>
          <w:highlight w:val="none"/>
        </w:rPr>
        <w:t>（五）其他隐瞒真实情况、提供虚假资料的行为。</w:t>
      </w:r>
    </w:p>
    <w:p w14:paraId="1CEC5A4A">
      <w:pPr>
        <w:ind w:firstLine="440" w:firstLineChars="200"/>
        <w:rPr>
          <w:rFonts w:hint="eastAsia" w:ascii="宋体"/>
          <w:sz w:val="22"/>
          <w:highlight w:val="none"/>
        </w:rPr>
      </w:pPr>
      <w:r>
        <w:rPr>
          <w:rFonts w:hint="eastAsia" w:ascii="宋体"/>
          <w:sz w:val="22"/>
          <w:highlight w:val="none"/>
        </w:rPr>
        <w:t>投标供应商不能提供项目负责人或者主要技术人员的劳动合同、社会保险等劳动关系证明材料的，视为存在前款第（三）项规定的情形。</w:t>
      </w:r>
    </w:p>
    <w:p w14:paraId="2464A9CB">
      <w:pPr>
        <w:jc w:val="center"/>
        <w:rPr>
          <w:rFonts w:ascii="宋体" w:hAnsi="宋体" w:cs="宋体"/>
          <w:b/>
          <w:snapToGrid w:val="0"/>
          <w:color w:val="000000" w:themeColor="text1"/>
          <w:sz w:val="44"/>
          <w:szCs w:val="44"/>
          <w:highlight w:val="none"/>
          <w14:textFill>
            <w14:solidFill>
              <w14:schemeClr w14:val="tx1"/>
            </w14:solidFill>
          </w14:textFill>
        </w:rPr>
      </w:pPr>
    </w:p>
    <w:p w14:paraId="753341F0">
      <w:pPr>
        <w:jc w:val="center"/>
        <w:rPr>
          <w:rFonts w:ascii="宋体" w:hAnsi="宋体" w:cs="宋体"/>
          <w:b/>
          <w:snapToGrid w:val="0"/>
          <w:color w:val="000000" w:themeColor="text1"/>
          <w:sz w:val="44"/>
          <w:szCs w:val="44"/>
          <w:highlight w:val="none"/>
          <w14:textFill>
            <w14:solidFill>
              <w14:schemeClr w14:val="tx1"/>
            </w14:solidFill>
          </w14:textFill>
        </w:rPr>
      </w:pPr>
    </w:p>
    <w:p w14:paraId="39695007">
      <w:pPr>
        <w:jc w:val="center"/>
        <w:rPr>
          <w:rFonts w:ascii="宋体" w:hAnsi="宋体" w:cs="宋体"/>
          <w:b/>
          <w:snapToGrid w:val="0"/>
          <w:color w:val="000000" w:themeColor="text1"/>
          <w:sz w:val="44"/>
          <w:szCs w:val="44"/>
          <w:highlight w:val="none"/>
          <w14:textFill>
            <w14:solidFill>
              <w14:schemeClr w14:val="tx1"/>
            </w14:solidFill>
          </w14:textFill>
        </w:rPr>
      </w:pPr>
    </w:p>
    <w:p w14:paraId="23902602">
      <w:pPr>
        <w:rPr>
          <w:rFonts w:ascii="宋体" w:hAnsi="宋体" w:cs="宋体"/>
          <w:b/>
          <w:snapToGrid w:val="0"/>
          <w:color w:val="000000" w:themeColor="text1"/>
          <w:sz w:val="44"/>
          <w:szCs w:val="44"/>
          <w:highlight w:val="none"/>
          <w14:textFill>
            <w14:solidFill>
              <w14:schemeClr w14:val="tx1"/>
            </w14:solidFill>
          </w14:textFill>
        </w:rPr>
      </w:pPr>
    </w:p>
    <w:p w14:paraId="7261E9E2">
      <w:pPr>
        <w:rPr>
          <w:rFonts w:ascii="宋体" w:hAnsi="宋体" w:cs="宋体"/>
          <w:b/>
          <w:snapToGrid w:val="0"/>
          <w:color w:val="000000" w:themeColor="text1"/>
          <w:sz w:val="44"/>
          <w:szCs w:val="44"/>
          <w:highlight w:val="none"/>
          <w14:textFill>
            <w14:solidFill>
              <w14:schemeClr w14:val="tx1"/>
            </w14:solidFill>
          </w14:textFill>
        </w:rPr>
      </w:pPr>
    </w:p>
    <w:p w14:paraId="6FDB50B8">
      <w:pPr>
        <w:jc w:val="center"/>
        <w:rPr>
          <w:rFonts w:ascii="宋体" w:hAnsi="宋体" w:cs="宋体"/>
          <w:b/>
          <w:color w:val="000000" w:themeColor="text1"/>
          <w:sz w:val="32"/>
          <w:szCs w:val="32"/>
          <w:highlight w:val="none"/>
          <w14:textFill>
            <w14:solidFill>
              <w14:schemeClr w14:val="tx1"/>
            </w14:solidFill>
          </w14:textFill>
        </w:rPr>
      </w:pPr>
      <w:r>
        <w:rPr>
          <w:rFonts w:hint="eastAsia" w:ascii="宋体" w:hAnsi="宋体" w:cs="宋体"/>
          <w:b/>
          <w:color w:val="000000" w:themeColor="text1"/>
          <w:sz w:val="32"/>
          <w:szCs w:val="32"/>
          <w:highlight w:val="none"/>
          <w14:textFill>
            <w14:solidFill>
              <w14:schemeClr w14:val="tx1"/>
            </w14:solidFill>
          </w14:textFill>
        </w:rPr>
        <w:t>目   录</w:t>
      </w:r>
    </w:p>
    <w:p w14:paraId="4C3DBFF1">
      <w:pPr>
        <w:rPr>
          <w:rFonts w:ascii="宋体" w:hAnsi="宋体" w:cs="宋体"/>
          <w:b/>
          <w:color w:val="000000" w:themeColor="text1"/>
          <w:sz w:val="24"/>
          <w:highlight w:val="none"/>
          <w14:textFill>
            <w14:solidFill>
              <w14:schemeClr w14:val="tx1"/>
            </w14:solidFill>
          </w14:textFill>
        </w:rPr>
      </w:pPr>
    </w:p>
    <w:p w14:paraId="504F5FA9">
      <w:pPr>
        <w:jc w:val="center"/>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第一册  专用条款</w:t>
      </w:r>
    </w:p>
    <w:p w14:paraId="3006C0FD">
      <w:pPr>
        <w:rPr>
          <w:rFonts w:ascii="宋体" w:hAnsi="宋体" w:cs="宋体"/>
          <w:color w:val="000000" w:themeColor="text1"/>
          <w:szCs w:val="21"/>
          <w:highlight w:val="none"/>
          <w14:textFill>
            <w14:solidFill>
              <w14:schemeClr w14:val="tx1"/>
            </w14:solidFill>
          </w14:textFill>
        </w:rPr>
      </w:pPr>
    </w:p>
    <w:p w14:paraId="01B8A690">
      <w:pP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关键信息</w:t>
      </w:r>
    </w:p>
    <w:p w14:paraId="70AAD551">
      <w:pP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第一章  招标公告</w:t>
      </w:r>
    </w:p>
    <w:p w14:paraId="386D393A">
      <w:pP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第二章  招标项目需求</w:t>
      </w:r>
    </w:p>
    <w:p w14:paraId="33C365BE">
      <w:pP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第三章  投标文件格式、附件</w:t>
      </w:r>
    </w:p>
    <w:p w14:paraId="26C8A9E5">
      <w:pP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第四章  政府采购合同的签订、履行及验收</w:t>
      </w:r>
    </w:p>
    <w:p w14:paraId="621C8144">
      <w:pPr>
        <w:rPr>
          <w:rFonts w:ascii="宋体" w:hAnsi="宋体" w:cs="宋体"/>
          <w:b/>
          <w:color w:val="000000" w:themeColor="text1"/>
          <w:sz w:val="24"/>
          <w:highlight w:val="none"/>
          <w14:textFill>
            <w14:solidFill>
              <w14:schemeClr w14:val="tx1"/>
            </w14:solidFill>
          </w14:textFill>
        </w:rPr>
      </w:pPr>
    </w:p>
    <w:p w14:paraId="5BB04CDB">
      <w:pPr>
        <w:jc w:val="center"/>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第二册  通用条款</w:t>
      </w:r>
    </w:p>
    <w:p w14:paraId="28A51EC3">
      <w:pPr>
        <w:rPr>
          <w:rFonts w:ascii="宋体" w:hAnsi="宋体" w:cs="宋体"/>
          <w:color w:val="000000" w:themeColor="text1"/>
          <w:szCs w:val="21"/>
          <w:highlight w:val="none"/>
          <w14:textFill>
            <w14:solidFill>
              <w14:schemeClr w14:val="tx1"/>
            </w14:solidFill>
          </w14:textFill>
        </w:rPr>
      </w:pPr>
    </w:p>
    <w:p w14:paraId="5821CFC1">
      <w:pP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第一章 总则</w:t>
      </w:r>
    </w:p>
    <w:p w14:paraId="055AC682">
      <w:pP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第二章 采购文件</w:t>
      </w:r>
    </w:p>
    <w:p w14:paraId="483BA9F5">
      <w:pP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第三章 投标文件的编制</w:t>
      </w:r>
    </w:p>
    <w:p w14:paraId="41D9B306">
      <w:pP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第四章 投标文件的递交</w:t>
      </w:r>
    </w:p>
    <w:p w14:paraId="028AB304">
      <w:pP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第五章 开标</w:t>
      </w:r>
    </w:p>
    <w:p w14:paraId="197E25F0">
      <w:pP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第六章 评标要求</w:t>
      </w:r>
    </w:p>
    <w:p w14:paraId="50F943B8">
      <w:pP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第七章 评标程序及评标方法</w:t>
      </w:r>
    </w:p>
    <w:p w14:paraId="6C2540C9">
      <w:pP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第八章 定标及公示</w:t>
      </w:r>
    </w:p>
    <w:p w14:paraId="167AF439">
      <w:pP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第九章 公开招标失败的后续处理</w:t>
      </w:r>
    </w:p>
    <w:p w14:paraId="50A3D5E9">
      <w:pP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第十章 合同的授予与备案</w:t>
      </w:r>
    </w:p>
    <w:p w14:paraId="7DFE6D60">
      <w:pP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第十一章 质疑处理</w:t>
      </w:r>
    </w:p>
    <w:p w14:paraId="2878BF04">
      <w:pPr>
        <w:jc w:val="center"/>
        <w:rPr>
          <w:rFonts w:ascii="宋体" w:hAnsi="宋体" w:cs="宋体"/>
          <w:b/>
          <w:sz w:val="24"/>
          <w:highlight w:val="none"/>
        </w:rPr>
      </w:pPr>
      <w:r>
        <w:rPr>
          <w:rFonts w:hint="eastAsia" w:ascii="宋体" w:hAnsi="宋体" w:cs="宋体"/>
          <w:b/>
          <w:sz w:val="24"/>
          <w:highlight w:val="none"/>
        </w:rPr>
        <w:t>第三册  附件</w:t>
      </w:r>
    </w:p>
    <w:p w14:paraId="6C51077B">
      <w:pPr>
        <w:rPr>
          <w:rFonts w:ascii="宋体" w:hAnsi="宋体" w:cs="宋体"/>
          <w:szCs w:val="21"/>
          <w:highlight w:val="none"/>
        </w:rPr>
      </w:pPr>
    </w:p>
    <w:p w14:paraId="0D53265C">
      <w:pPr>
        <w:rPr>
          <w:rFonts w:ascii="Times New Roman" w:hAnsi="Times New Roman"/>
          <w:szCs w:val="21"/>
          <w:highlight w:val="none"/>
        </w:rPr>
      </w:pPr>
      <w:r>
        <w:rPr>
          <w:rFonts w:hint="eastAsia" w:ascii="Times New Roman" w:hAnsi="Times New Roman"/>
          <w:szCs w:val="21"/>
          <w:highlight w:val="none"/>
        </w:rPr>
        <w:t>一、财政部 工业和信息化部关于印发《政府采购促进中小企业发展管理办法》的通知</w:t>
      </w:r>
    </w:p>
    <w:p w14:paraId="2DBC1B33">
      <w:pPr>
        <w:rPr>
          <w:rFonts w:ascii="Times New Roman" w:hAnsi="Times New Roman"/>
          <w:szCs w:val="21"/>
          <w:highlight w:val="none"/>
        </w:rPr>
      </w:pPr>
      <w:r>
        <w:rPr>
          <w:rFonts w:hint="eastAsia" w:ascii="Times New Roman" w:hAnsi="Times New Roman"/>
          <w:szCs w:val="21"/>
          <w:highlight w:val="none"/>
        </w:rPr>
        <w:t>二、关于印发中小企业划型标准规定的通知</w:t>
      </w:r>
    </w:p>
    <w:p w14:paraId="110711FB">
      <w:pPr>
        <w:jc w:val="center"/>
        <w:rPr>
          <w:rFonts w:ascii="Times New Roman" w:hAnsi="Times New Roman"/>
          <w:szCs w:val="21"/>
          <w:highlight w:val="none"/>
        </w:rPr>
      </w:pPr>
      <w:r>
        <w:rPr>
          <w:rFonts w:hint="eastAsia" w:ascii="Times New Roman" w:hAnsi="Times New Roman"/>
          <w:szCs w:val="21"/>
          <w:highlight w:val="none"/>
        </w:rPr>
        <w:t xml:space="preserve">三、国家统计局关于印发《统计上大中小微型企业划分办法 （2017）》的通知四、财政部 </w:t>
      </w:r>
    </w:p>
    <w:p w14:paraId="0DF002F7">
      <w:pPr>
        <w:rPr>
          <w:rFonts w:hint="eastAsia" w:ascii="Times New Roman" w:hAnsi="Times New Roman"/>
          <w:szCs w:val="21"/>
          <w:highlight w:val="none"/>
        </w:rPr>
      </w:pPr>
      <w:r>
        <w:rPr>
          <w:rFonts w:hint="eastAsia" w:ascii="Times New Roman" w:hAnsi="Times New Roman"/>
          <w:szCs w:val="21"/>
          <w:highlight w:val="none"/>
        </w:rPr>
        <w:t>民政部 中国残疾人联合会关于促进残疾人就业 政府采购政策的通知</w:t>
      </w:r>
    </w:p>
    <w:p w14:paraId="642F7F65">
      <w:pPr>
        <w:rPr>
          <w:rFonts w:hint="eastAsia" w:ascii="宋体" w:hAnsi="宋体" w:eastAsia="宋体" w:cs="宋体"/>
          <w:color w:val="auto"/>
          <w:sz w:val="22"/>
          <w:szCs w:val="22"/>
          <w:highlight w:val="none"/>
        </w:rPr>
      </w:pPr>
      <w:r>
        <w:rPr>
          <w:rFonts w:hint="eastAsia" w:ascii="Times New Roman" w:hAnsi="Times New Roman"/>
          <w:szCs w:val="21"/>
          <w:highlight w:val="none"/>
        </w:rPr>
        <w:t xml:space="preserve">四、财政部 民政部 中国残疾人联合会关于促进残疾人就业 政府采购政策的通知 </w:t>
      </w:r>
    </w:p>
    <w:p w14:paraId="23FC176B">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br w:type="page"/>
      </w:r>
    </w:p>
    <w:p w14:paraId="19A7A049">
      <w:pPr>
        <w:pStyle w:val="2"/>
        <w:rPr>
          <w:rFonts w:hint="eastAsia" w:ascii="宋体" w:hAnsi="宋体" w:eastAsia="宋体" w:cs="宋体"/>
          <w:b/>
          <w:bCs/>
          <w:color w:val="auto"/>
          <w:sz w:val="36"/>
          <w:szCs w:val="96"/>
          <w:highlight w:val="none"/>
        </w:rPr>
      </w:pPr>
      <w:r>
        <w:rPr>
          <w:rFonts w:hint="eastAsia" w:ascii="宋体" w:hAnsi="宋体" w:eastAsia="宋体" w:cs="宋体"/>
          <w:b/>
          <w:bCs/>
          <w:color w:val="auto"/>
          <w:sz w:val="36"/>
          <w:szCs w:val="96"/>
          <w:highlight w:val="none"/>
        </w:rPr>
        <w:t>关键信息</w:t>
      </w:r>
    </w:p>
    <w:p w14:paraId="7F8431F5">
      <w:pPr>
        <w:rPr>
          <w:rFonts w:hint="eastAsia" w:ascii="宋体" w:hAnsi="宋体" w:eastAsia="宋体" w:cs="宋体"/>
          <w:color w:val="auto"/>
          <w:highlight w:val="none"/>
        </w:rPr>
      </w:pPr>
    </w:p>
    <w:tbl>
      <w:tblPr>
        <w:tblStyle w:val="23"/>
        <w:tblpPr w:leftFromText="180" w:rightFromText="180" w:vertAnchor="text" w:horzAnchor="page" w:tblpX="1781" w:tblpY="260"/>
        <w:tblOverlap w:val="never"/>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2"/>
        <w:gridCol w:w="2511"/>
        <w:gridCol w:w="5103"/>
      </w:tblGrid>
      <w:tr w14:paraId="7106C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blHeader/>
        </w:trPr>
        <w:tc>
          <w:tcPr>
            <w:tcW w:w="535" w:type="pct"/>
            <w:vAlign w:val="center"/>
          </w:tcPr>
          <w:p w14:paraId="77BBEE08">
            <w:pPr>
              <w:adjustRightInd w:val="0"/>
              <w:snapToGrid w:val="0"/>
              <w:spacing w:line="360" w:lineRule="exact"/>
              <w:jc w:val="center"/>
              <w:rPr>
                <w:rFonts w:ascii="宋体" w:hAnsi="宋体" w:cs="宋体"/>
                <w:b/>
                <w:color w:val="000000" w:themeColor="text1"/>
                <w:sz w:val="22"/>
                <w:highlight w:val="none"/>
                <w14:textFill>
                  <w14:solidFill>
                    <w14:schemeClr w14:val="tx1"/>
                  </w14:solidFill>
                </w14:textFill>
              </w:rPr>
            </w:pPr>
            <w:r>
              <w:rPr>
                <w:rFonts w:hint="eastAsia" w:ascii="宋体" w:hAnsi="宋体" w:cs="宋体"/>
                <w:b/>
                <w:color w:val="000000" w:themeColor="text1"/>
                <w:sz w:val="22"/>
                <w:highlight w:val="none"/>
                <w14:textFill>
                  <w14:solidFill>
                    <w14:schemeClr w14:val="tx1"/>
                  </w14:solidFill>
                </w14:textFill>
              </w:rPr>
              <w:t>序号</w:t>
            </w:r>
          </w:p>
        </w:tc>
        <w:tc>
          <w:tcPr>
            <w:tcW w:w="1472" w:type="pct"/>
            <w:vAlign w:val="center"/>
          </w:tcPr>
          <w:p w14:paraId="45B795F0">
            <w:pPr>
              <w:adjustRightInd w:val="0"/>
              <w:snapToGrid w:val="0"/>
              <w:spacing w:line="360" w:lineRule="exact"/>
              <w:jc w:val="center"/>
              <w:rPr>
                <w:rFonts w:ascii="宋体" w:hAnsi="宋体" w:cs="宋体"/>
                <w:b/>
                <w:color w:val="000000" w:themeColor="text1"/>
                <w:sz w:val="22"/>
                <w:highlight w:val="none"/>
                <w14:textFill>
                  <w14:solidFill>
                    <w14:schemeClr w14:val="tx1"/>
                  </w14:solidFill>
                </w14:textFill>
              </w:rPr>
            </w:pPr>
            <w:r>
              <w:rPr>
                <w:rFonts w:hint="eastAsia" w:ascii="宋体" w:hAnsi="宋体" w:cs="宋体"/>
                <w:b/>
                <w:color w:val="000000" w:themeColor="text1"/>
                <w:sz w:val="22"/>
                <w:highlight w:val="none"/>
                <w14:textFill>
                  <w14:solidFill>
                    <w14:schemeClr w14:val="tx1"/>
                  </w14:solidFill>
                </w14:textFill>
              </w:rPr>
              <w:t>内容</w:t>
            </w:r>
          </w:p>
        </w:tc>
        <w:tc>
          <w:tcPr>
            <w:tcW w:w="2992" w:type="pct"/>
            <w:vAlign w:val="center"/>
          </w:tcPr>
          <w:p w14:paraId="120DC7C6">
            <w:pPr>
              <w:adjustRightInd w:val="0"/>
              <w:snapToGrid w:val="0"/>
              <w:spacing w:line="360" w:lineRule="exact"/>
              <w:jc w:val="center"/>
              <w:rPr>
                <w:rFonts w:ascii="宋体" w:hAnsi="宋体" w:cs="宋体"/>
                <w:b/>
                <w:color w:val="000000" w:themeColor="text1"/>
                <w:sz w:val="22"/>
                <w:highlight w:val="none"/>
                <w14:textFill>
                  <w14:solidFill>
                    <w14:schemeClr w14:val="tx1"/>
                  </w14:solidFill>
                </w14:textFill>
              </w:rPr>
            </w:pPr>
            <w:r>
              <w:rPr>
                <w:rFonts w:hint="eastAsia" w:ascii="宋体" w:hAnsi="宋体" w:cs="宋体"/>
                <w:b/>
                <w:color w:val="000000" w:themeColor="text1"/>
                <w:sz w:val="22"/>
                <w:highlight w:val="none"/>
                <w14:textFill>
                  <w14:solidFill>
                    <w14:schemeClr w14:val="tx1"/>
                  </w14:solidFill>
                </w14:textFill>
              </w:rPr>
              <w:t>说明及要求</w:t>
            </w:r>
          </w:p>
        </w:tc>
      </w:tr>
      <w:tr w14:paraId="4FA57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535" w:type="pct"/>
            <w:vAlign w:val="center"/>
          </w:tcPr>
          <w:p w14:paraId="44C8B7AA">
            <w:pPr>
              <w:adjustRightInd w:val="0"/>
              <w:snapToGrid w:val="0"/>
              <w:spacing w:line="360" w:lineRule="exact"/>
              <w:jc w:val="center"/>
              <w:rPr>
                <w:rFonts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1</w:t>
            </w:r>
          </w:p>
        </w:tc>
        <w:tc>
          <w:tcPr>
            <w:tcW w:w="1472" w:type="pct"/>
            <w:vAlign w:val="center"/>
          </w:tcPr>
          <w:p w14:paraId="24E399A3">
            <w:pPr>
              <w:adjustRightInd w:val="0"/>
              <w:snapToGrid w:val="0"/>
              <w:spacing w:line="360" w:lineRule="exact"/>
              <w:jc w:val="center"/>
              <w:rPr>
                <w:rFonts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采购项目</w:t>
            </w:r>
          </w:p>
        </w:tc>
        <w:tc>
          <w:tcPr>
            <w:tcW w:w="2992" w:type="pct"/>
            <w:vAlign w:val="center"/>
          </w:tcPr>
          <w:p w14:paraId="0D263F00">
            <w:pPr>
              <w:adjustRightInd w:val="0"/>
              <w:snapToGrid w:val="0"/>
              <w:spacing w:line="360" w:lineRule="exact"/>
              <w:rPr>
                <w:rFonts w:hint="eastAsia" w:ascii="宋体" w:hAnsi="宋体" w:eastAsia="宋体" w:cs="宋体"/>
                <w:color w:val="000000" w:themeColor="text1"/>
                <w:sz w:val="22"/>
                <w:highlight w:val="none"/>
                <w:lang w:eastAsia="zh-CN"/>
                <w14:textFill>
                  <w14:solidFill>
                    <w14:schemeClr w14:val="tx1"/>
                  </w14:solidFill>
                </w14:textFill>
              </w:rPr>
            </w:pPr>
            <w:r>
              <w:rPr>
                <w:rFonts w:hint="eastAsia" w:ascii="宋体" w:hAnsi="宋体" w:cs="宋体"/>
                <w:color w:val="000000" w:themeColor="text1"/>
                <w:sz w:val="22"/>
                <w:highlight w:val="none"/>
                <w:lang w:eastAsia="zh-CN"/>
                <w14:textFill>
                  <w14:solidFill>
                    <w14:schemeClr w14:val="tx1"/>
                  </w14:solidFill>
                </w14:textFill>
              </w:rPr>
              <w:t>食堂管理服务项目</w:t>
            </w:r>
          </w:p>
        </w:tc>
      </w:tr>
      <w:tr w14:paraId="6658E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535" w:type="pct"/>
            <w:vAlign w:val="center"/>
          </w:tcPr>
          <w:p w14:paraId="258A2257">
            <w:pPr>
              <w:adjustRightInd w:val="0"/>
              <w:snapToGrid w:val="0"/>
              <w:spacing w:line="360" w:lineRule="exact"/>
              <w:jc w:val="center"/>
              <w:rPr>
                <w:rFonts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2</w:t>
            </w:r>
          </w:p>
        </w:tc>
        <w:tc>
          <w:tcPr>
            <w:tcW w:w="1472" w:type="pct"/>
            <w:vAlign w:val="center"/>
          </w:tcPr>
          <w:p w14:paraId="11C068AF">
            <w:pPr>
              <w:adjustRightInd w:val="0"/>
              <w:snapToGrid w:val="0"/>
              <w:spacing w:line="360" w:lineRule="exact"/>
              <w:jc w:val="center"/>
              <w:rPr>
                <w:rFonts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采购方式</w:t>
            </w:r>
          </w:p>
        </w:tc>
        <w:tc>
          <w:tcPr>
            <w:tcW w:w="2992" w:type="pct"/>
            <w:vAlign w:val="center"/>
          </w:tcPr>
          <w:p w14:paraId="5CE63AFD">
            <w:pPr>
              <w:adjustRightInd w:val="0"/>
              <w:snapToGrid w:val="0"/>
              <w:spacing w:line="360" w:lineRule="exact"/>
              <w:jc w:val="left"/>
              <w:rPr>
                <w:rFonts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公开招标</w:t>
            </w:r>
          </w:p>
        </w:tc>
      </w:tr>
      <w:tr w14:paraId="7A2BE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trPr>
        <w:tc>
          <w:tcPr>
            <w:tcW w:w="535" w:type="pct"/>
            <w:vAlign w:val="center"/>
          </w:tcPr>
          <w:p w14:paraId="2C74482E">
            <w:pPr>
              <w:adjustRightInd w:val="0"/>
              <w:snapToGrid w:val="0"/>
              <w:spacing w:line="360" w:lineRule="exact"/>
              <w:jc w:val="center"/>
              <w:rPr>
                <w:rFonts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3</w:t>
            </w:r>
          </w:p>
        </w:tc>
        <w:tc>
          <w:tcPr>
            <w:tcW w:w="1472" w:type="pct"/>
            <w:vAlign w:val="center"/>
          </w:tcPr>
          <w:p w14:paraId="5B814566">
            <w:pPr>
              <w:adjustRightInd w:val="0"/>
              <w:snapToGrid w:val="0"/>
              <w:spacing w:line="360" w:lineRule="exact"/>
              <w:jc w:val="center"/>
              <w:rPr>
                <w:rFonts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采购项目预算</w:t>
            </w:r>
          </w:p>
        </w:tc>
        <w:tc>
          <w:tcPr>
            <w:tcW w:w="2992" w:type="pct"/>
            <w:vAlign w:val="center"/>
          </w:tcPr>
          <w:p w14:paraId="43B926E0">
            <w:pPr>
              <w:adjustRightInd w:val="0"/>
              <w:snapToGrid w:val="0"/>
              <w:spacing w:line="360" w:lineRule="exact"/>
              <w:rPr>
                <w:rFonts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人民币</w:t>
            </w:r>
            <w:r>
              <w:rPr>
                <w:rFonts w:hint="eastAsia" w:ascii="宋体" w:hAnsi="宋体" w:cs="宋体"/>
                <w:color w:val="000000" w:themeColor="text1"/>
                <w:sz w:val="22"/>
                <w:highlight w:val="none"/>
                <w:lang w:val="en-US" w:eastAsia="zh-CN"/>
                <w14:textFill>
                  <w14:solidFill>
                    <w14:schemeClr w14:val="tx1"/>
                  </w14:solidFill>
                </w14:textFill>
              </w:rPr>
              <w:t>985,000.00</w:t>
            </w:r>
            <w:r>
              <w:rPr>
                <w:rFonts w:hint="eastAsia" w:ascii="宋体" w:hAnsi="宋体" w:cs="宋体"/>
                <w:color w:val="000000" w:themeColor="text1"/>
                <w:sz w:val="22"/>
                <w:highlight w:val="none"/>
                <w14:textFill>
                  <w14:solidFill>
                    <w14:schemeClr w14:val="tx1"/>
                  </w14:solidFill>
                </w14:textFill>
              </w:rPr>
              <w:t>元</w:t>
            </w:r>
          </w:p>
        </w:tc>
      </w:tr>
      <w:tr w14:paraId="1B4FD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535" w:type="pct"/>
            <w:vAlign w:val="center"/>
          </w:tcPr>
          <w:p w14:paraId="2B87EBAC">
            <w:pPr>
              <w:adjustRightInd w:val="0"/>
              <w:snapToGrid w:val="0"/>
              <w:spacing w:line="360" w:lineRule="exact"/>
              <w:jc w:val="center"/>
              <w:rPr>
                <w:rFonts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4</w:t>
            </w:r>
          </w:p>
        </w:tc>
        <w:tc>
          <w:tcPr>
            <w:tcW w:w="1472" w:type="pct"/>
            <w:vAlign w:val="center"/>
          </w:tcPr>
          <w:p w14:paraId="6DE84470">
            <w:pPr>
              <w:adjustRightInd w:val="0"/>
              <w:snapToGrid w:val="0"/>
              <w:spacing w:line="360" w:lineRule="exact"/>
              <w:jc w:val="center"/>
              <w:rPr>
                <w:rFonts w:hint="default"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投标</w:t>
            </w:r>
            <w:r>
              <w:rPr>
                <w:rFonts w:hint="default" w:ascii="宋体" w:hAnsi="宋体" w:cs="宋体"/>
                <w:color w:val="000000" w:themeColor="text1"/>
                <w:sz w:val="22"/>
                <w:highlight w:val="none"/>
                <w14:textFill>
                  <w14:solidFill>
                    <w14:schemeClr w14:val="tx1"/>
                  </w14:solidFill>
                </w14:textFill>
              </w:rPr>
              <w:t>保函</w:t>
            </w:r>
          </w:p>
        </w:tc>
        <w:tc>
          <w:tcPr>
            <w:tcW w:w="2992" w:type="pct"/>
            <w:vAlign w:val="center"/>
          </w:tcPr>
          <w:p w14:paraId="63824895">
            <w:pPr>
              <w:adjustRightInd w:val="0"/>
              <w:snapToGrid w:val="0"/>
              <w:spacing w:line="360" w:lineRule="exact"/>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不要求提供</w:t>
            </w:r>
          </w:p>
        </w:tc>
      </w:tr>
      <w:tr w14:paraId="43DD9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535" w:type="pct"/>
            <w:vAlign w:val="center"/>
          </w:tcPr>
          <w:p w14:paraId="62F34A5B">
            <w:pPr>
              <w:adjustRightInd w:val="0"/>
              <w:snapToGrid w:val="0"/>
              <w:spacing w:line="360" w:lineRule="exact"/>
              <w:jc w:val="center"/>
              <w:rPr>
                <w:rFonts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5</w:t>
            </w:r>
          </w:p>
        </w:tc>
        <w:tc>
          <w:tcPr>
            <w:tcW w:w="1472" w:type="pct"/>
            <w:vAlign w:val="center"/>
          </w:tcPr>
          <w:p w14:paraId="15E6678F">
            <w:pPr>
              <w:adjustRightInd w:val="0"/>
              <w:snapToGrid w:val="0"/>
              <w:spacing w:line="360" w:lineRule="exact"/>
              <w:jc w:val="center"/>
              <w:rPr>
                <w:rFonts w:ascii="宋体" w:hAnsi="宋体" w:cs="宋体"/>
                <w:bCs/>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投标人的替代方案</w:t>
            </w:r>
          </w:p>
        </w:tc>
        <w:tc>
          <w:tcPr>
            <w:tcW w:w="2992" w:type="pct"/>
            <w:vAlign w:val="center"/>
          </w:tcPr>
          <w:p w14:paraId="1286761A">
            <w:pPr>
              <w:adjustRightInd w:val="0"/>
              <w:snapToGrid w:val="0"/>
              <w:spacing w:line="360" w:lineRule="exact"/>
              <w:jc w:val="left"/>
              <w:rPr>
                <w:rFonts w:ascii="宋体" w:hAnsi="宋体" w:cs="宋体"/>
                <w:color w:val="000000" w:themeColor="text1"/>
                <w:sz w:val="22"/>
                <w:highlight w:val="none"/>
                <w:u w:val="singl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不允许</w:t>
            </w:r>
          </w:p>
        </w:tc>
      </w:tr>
      <w:tr w14:paraId="29511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535" w:type="pct"/>
            <w:vAlign w:val="center"/>
          </w:tcPr>
          <w:p w14:paraId="77C3D530">
            <w:pPr>
              <w:adjustRightInd w:val="0"/>
              <w:snapToGrid w:val="0"/>
              <w:spacing w:line="360" w:lineRule="exact"/>
              <w:jc w:val="center"/>
              <w:rPr>
                <w:rFonts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6</w:t>
            </w:r>
          </w:p>
        </w:tc>
        <w:tc>
          <w:tcPr>
            <w:tcW w:w="1472" w:type="pct"/>
            <w:vAlign w:val="center"/>
          </w:tcPr>
          <w:p w14:paraId="521C0B3B">
            <w:pPr>
              <w:adjustRightInd w:val="0"/>
              <w:snapToGrid w:val="0"/>
              <w:spacing w:line="360" w:lineRule="exact"/>
              <w:jc w:val="center"/>
              <w:rPr>
                <w:rFonts w:ascii="宋体" w:hAnsi="宋体" w:cs="宋体"/>
                <w:bCs/>
                <w:color w:val="000000" w:themeColor="text1"/>
                <w:sz w:val="22"/>
                <w:highlight w:val="none"/>
                <w14:textFill>
                  <w14:solidFill>
                    <w14:schemeClr w14:val="tx1"/>
                  </w14:solidFill>
                </w14:textFill>
              </w:rPr>
            </w:pPr>
            <w:r>
              <w:rPr>
                <w:rFonts w:hint="eastAsia" w:ascii="宋体" w:hAnsi="宋体" w:cs="宋体"/>
                <w:bCs/>
                <w:color w:val="000000" w:themeColor="text1"/>
                <w:sz w:val="22"/>
                <w:highlight w:val="none"/>
                <w14:textFill>
                  <w14:solidFill>
                    <w14:schemeClr w14:val="tx1"/>
                  </w14:solidFill>
                </w14:textFill>
              </w:rPr>
              <w:t>投标有效期</w:t>
            </w:r>
          </w:p>
        </w:tc>
        <w:tc>
          <w:tcPr>
            <w:tcW w:w="2992" w:type="pct"/>
            <w:vAlign w:val="center"/>
          </w:tcPr>
          <w:p w14:paraId="760766B4">
            <w:pPr>
              <w:adjustRightInd w:val="0"/>
              <w:snapToGrid w:val="0"/>
              <w:spacing w:line="360" w:lineRule="exact"/>
              <w:rPr>
                <w:rFonts w:ascii="宋体" w:hAnsi="宋体" w:cs="宋体"/>
                <w:bCs/>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u w:val="single"/>
                <w14:textFill>
                  <w14:solidFill>
                    <w14:schemeClr w14:val="tx1"/>
                  </w14:solidFill>
                </w14:textFill>
              </w:rPr>
              <w:t>90</w:t>
            </w:r>
            <w:r>
              <w:rPr>
                <w:rFonts w:hint="eastAsia" w:ascii="宋体" w:hAnsi="宋体" w:cs="宋体"/>
                <w:color w:val="000000" w:themeColor="text1"/>
                <w:sz w:val="22"/>
                <w:highlight w:val="none"/>
                <w14:textFill>
                  <w14:solidFill>
                    <w14:schemeClr w14:val="tx1"/>
                  </w14:solidFill>
                </w14:textFill>
              </w:rPr>
              <w:t>日（日历日）</w:t>
            </w:r>
          </w:p>
        </w:tc>
      </w:tr>
      <w:tr w14:paraId="3D1CD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35" w:type="pct"/>
            <w:vAlign w:val="center"/>
          </w:tcPr>
          <w:p w14:paraId="74B5C0D1">
            <w:pPr>
              <w:adjustRightInd w:val="0"/>
              <w:snapToGrid w:val="0"/>
              <w:spacing w:line="360" w:lineRule="exact"/>
              <w:jc w:val="center"/>
              <w:rPr>
                <w:rFonts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7</w:t>
            </w:r>
          </w:p>
        </w:tc>
        <w:tc>
          <w:tcPr>
            <w:tcW w:w="1472" w:type="pct"/>
            <w:vAlign w:val="center"/>
          </w:tcPr>
          <w:p w14:paraId="66C8D109">
            <w:pPr>
              <w:adjustRightInd w:val="0"/>
              <w:snapToGrid w:val="0"/>
              <w:spacing w:line="360" w:lineRule="exact"/>
              <w:jc w:val="center"/>
              <w:rPr>
                <w:rFonts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投标文件份数</w:t>
            </w:r>
          </w:p>
        </w:tc>
        <w:tc>
          <w:tcPr>
            <w:tcW w:w="2992" w:type="pct"/>
            <w:vAlign w:val="center"/>
          </w:tcPr>
          <w:p w14:paraId="4325290C">
            <w:pPr>
              <w:adjustRightInd w:val="0"/>
              <w:snapToGrid w:val="0"/>
              <w:spacing w:line="360" w:lineRule="exact"/>
              <w:rPr>
                <w:rFonts w:ascii="宋体" w:hAnsi="宋体" w:cs="宋体"/>
                <w:color w:val="000000" w:themeColor="text1"/>
                <w:sz w:val="22"/>
                <w:highlight w:val="none"/>
                <w:u w:val="singl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正本一份，副本五份，投标文件电子版（盖章扫描件）一份。</w:t>
            </w:r>
          </w:p>
        </w:tc>
      </w:tr>
      <w:tr w14:paraId="00CC0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535" w:type="pct"/>
            <w:vAlign w:val="center"/>
          </w:tcPr>
          <w:p w14:paraId="10B50DDF">
            <w:pPr>
              <w:adjustRightInd w:val="0"/>
              <w:snapToGrid w:val="0"/>
              <w:spacing w:line="360" w:lineRule="exact"/>
              <w:jc w:val="center"/>
              <w:rPr>
                <w:rFonts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8</w:t>
            </w:r>
          </w:p>
        </w:tc>
        <w:tc>
          <w:tcPr>
            <w:tcW w:w="1472" w:type="pct"/>
            <w:vAlign w:val="center"/>
          </w:tcPr>
          <w:p w14:paraId="6DBFAB85">
            <w:pPr>
              <w:adjustRightInd w:val="0"/>
              <w:snapToGrid w:val="0"/>
              <w:spacing w:line="360" w:lineRule="exact"/>
              <w:jc w:val="center"/>
              <w:rPr>
                <w:rFonts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履约担保金额</w:t>
            </w:r>
          </w:p>
        </w:tc>
        <w:tc>
          <w:tcPr>
            <w:tcW w:w="2992" w:type="pct"/>
            <w:vAlign w:val="center"/>
          </w:tcPr>
          <w:p w14:paraId="32323530">
            <w:pPr>
              <w:adjustRightInd w:val="0"/>
              <w:snapToGrid w:val="0"/>
              <w:spacing w:line="360" w:lineRule="exact"/>
              <w:jc w:val="left"/>
              <w:rPr>
                <w:rFonts w:hint="default" w:ascii="宋体" w:hAnsi="宋体" w:eastAsia="宋体" w:cs="宋体"/>
                <w:color w:val="000000" w:themeColor="text1"/>
                <w:sz w:val="22"/>
                <w:highlight w:val="none"/>
                <w:lang w:val="en-US" w:eastAsia="zh-CN"/>
                <w14:textFill>
                  <w14:solidFill>
                    <w14:schemeClr w14:val="tx1"/>
                  </w14:solidFill>
                </w14:textFill>
              </w:rPr>
            </w:pPr>
            <w:r>
              <w:rPr>
                <w:rFonts w:hint="eastAsia" w:ascii="宋体" w:hAnsi="宋体" w:cs="宋体"/>
                <w:color w:val="000000" w:themeColor="text1"/>
                <w:sz w:val="22"/>
                <w:highlight w:val="none"/>
                <w:lang w:val="en-US" w:eastAsia="zh-CN"/>
                <w14:textFill>
                  <w14:solidFill>
                    <w14:schemeClr w14:val="tx1"/>
                  </w14:solidFill>
                </w14:textFill>
              </w:rPr>
              <w:t>人民币伍万元整</w:t>
            </w:r>
          </w:p>
        </w:tc>
      </w:tr>
      <w:tr w14:paraId="089B2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535" w:type="pct"/>
            <w:vAlign w:val="center"/>
          </w:tcPr>
          <w:p w14:paraId="3B4C48F6">
            <w:pPr>
              <w:adjustRightInd w:val="0"/>
              <w:snapToGrid w:val="0"/>
              <w:spacing w:line="360" w:lineRule="exact"/>
              <w:jc w:val="center"/>
              <w:rPr>
                <w:rFonts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9</w:t>
            </w:r>
          </w:p>
        </w:tc>
        <w:tc>
          <w:tcPr>
            <w:tcW w:w="1472" w:type="pct"/>
            <w:vAlign w:val="center"/>
          </w:tcPr>
          <w:p w14:paraId="3A9D06D4">
            <w:pPr>
              <w:adjustRightInd w:val="0"/>
              <w:snapToGrid w:val="0"/>
              <w:spacing w:line="360" w:lineRule="exact"/>
              <w:jc w:val="center"/>
              <w:rPr>
                <w:rFonts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招标代理服务费</w:t>
            </w:r>
          </w:p>
        </w:tc>
        <w:tc>
          <w:tcPr>
            <w:tcW w:w="2992" w:type="pct"/>
            <w:vAlign w:val="center"/>
          </w:tcPr>
          <w:p w14:paraId="10B1B09D">
            <w:pPr>
              <w:adjustRightInd w:val="0"/>
              <w:snapToGrid w:val="0"/>
              <w:spacing w:line="360" w:lineRule="exact"/>
              <w:jc w:val="both"/>
              <w:rPr>
                <w:rFonts w:ascii="宋体" w:hAnsi="宋体" w:cs="Calibri"/>
                <w:sz w:val="22"/>
                <w:szCs w:val="22"/>
                <w:highlight w:val="none"/>
              </w:rPr>
            </w:pPr>
            <w:r>
              <w:rPr>
                <w:rFonts w:hint="eastAsia" w:ascii="宋体" w:hAnsi="宋体" w:cs="Calibri"/>
                <w:sz w:val="22"/>
                <w:szCs w:val="22"/>
                <w:highlight w:val="none"/>
              </w:rPr>
              <w:t>1.采购项目招标代理服务费由</w:t>
            </w:r>
            <w:r>
              <w:rPr>
                <w:rFonts w:hint="default" w:ascii="宋体" w:hAnsi="宋体" w:cs="Calibri"/>
                <w:sz w:val="22"/>
                <w:szCs w:val="22"/>
                <w:highlight w:val="none"/>
              </w:rPr>
              <w:t>中标人</w:t>
            </w:r>
            <w:r>
              <w:rPr>
                <w:rFonts w:hint="eastAsia" w:ascii="宋体" w:hAnsi="宋体" w:cs="Calibri"/>
                <w:sz w:val="22"/>
                <w:szCs w:val="22"/>
                <w:highlight w:val="none"/>
              </w:rPr>
              <w:t>在领取《中标通知书》的同时向招标代理机构缴纳。</w:t>
            </w:r>
          </w:p>
          <w:p w14:paraId="40207C13">
            <w:pPr>
              <w:adjustRightInd w:val="0"/>
              <w:snapToGrid w:val="0"/>
              <w:spacing w:line="360" w:lineRule="exact"/>
              <w:jc w:val="both"/>
              <w:rPr>
                <w:rFonts w:ascii="宋体" w:hAnsi="宋体" w:cs="宋体"/>
                <w:color w:val="000000" w:themeColor="text1"/>
                <w:highlight w:val="none"/>
                <w14:textFill>
                  <w14:solidFill>
                    <w14:schemeClr w14:val="tx1"/>
                  </w14:solidFill>
                </w14:textFill>
              </w:rPr>
            </w:pPr>
            <w:r>
              <w:rPr>
                <w:rFonts w:hint="eastAsia" w:ascii="宋体" w:hAnsi="宋体" w:cs="Calibri"/>
                <w:sz w:val="22"/>
                <w:szCs w:val="22"/>
                <w:highlight w:val="none"/>
              </w:rPr>
              <w:t>2.招标代理服务费依据深财购[2018]27号文及相关规定收费。</w:t>
            </w:r>
          </w:p>
        </w:tc>
      </w:tr>
    </w:tbl>
    <w:p w14:paraId="766D4AB6">
      <w:pPr>
        <w:jc w:val="center"/>
        <w:rPr>
          <w:rFonts w:hint="eastAsia" w:ascii="宋体" w:hAnsi="宋体" w:eastAsia="宋体" w:cs="宋体"/>
          <w:b/>
          <w:color w:val="auto"/>
          <w:sz w:val="28"/>
          <w:szCs w:val="28"/>
          <w:highlight w:val="none"/>
        </w:rPr>
      </w:pPr>
    </w:p>
    <w:p w14:paraId="1CDA7B91">
      <w:pPr>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br w:type="page"/>
      </w:r>
    </w:p>
    <w:p w14:paraId="0BB759B8">
      <w:pPr>
        <w:pStyle w:val="2"/>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t>投标文件初审表</w:t>
      </w:r>
    </w:p>
    <w:p w14:paraId="1DB9C036">
      <w:pPr>
        <w:rPr>
          <w:rFonts w:hint="eastAsia" w:ascii="宋体" w:hAnsi="宋体" w:eastAsia="宋体" w:cs="宋体"/>
          <w:b/>
          <w:color w:val="auto"/>
          <w:highlight w:val="none"/>
        </w:rPr>
      </w:pP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4"/>
        <w:gridCol w:w="7845"/>
      </w:tblGrid>
      <w:tr w14:paraId="790FD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2"/>
            <w:vAlign w:val="center"/>
          </w:tcPr>
          <w:p w14:paraId="04713169">
            <w:pPr>
              <w:spacing w:line="360" w:lineRule="exact"/>
              <w:jc w:val="center"/>
              <w:rPr>
                <w:rFonts w:ascii="宋体" w:hAnsi="宋体" w:cs="宋体"/>
                <w:b/>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资格性审查表</w:t>
            </w:r>
          </w:p>
        </w:tc>
      </w:tr>
      <w:tr w14:paraId="0E1B6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1" w:type="pct"/>
            <w:vAlign w:val="center"/>
          </w:tcPr>
          <w:p w14:paraId="67FA2D78">
            <w:pPr>
              <w:numPr>
                <w:ilvl w:val="0"/>
                <w:numId w:val="1"/>
              </w:numPr>
              <w:spacing w:line="360" w:lineRule="exact"/>
              <w:rPr>
                <w:rFonts w:ascii="宋体" w:hAnsi="宋体" w:cs="宋体"/>
                <w:color w:val="000000" w:themeColor="text1"/>
                <w:highlight w:val="none"/>
                <w14:textFill>
                  <w14:solidFill>
                    <w14:schemeClr w14:val="tx1"/>
                  </w14:solidFill>
                </w14:textFill>
              </w:rPr>
            </w:pPr>
          </w:p>
        </w:tc>
        <w:tc>
          <w:tcPr>
            <w:tcW w:w="4598" w:type="pct"/>
            <w:vAlign w:val="center"/>
          </w:tcPr>
          <w:p w14:paraId="4777ED9C">
            <w:pPr>
              <w:spacing w:line="360" w:lineRule="exac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不具备采购文件所列的资格要求，或未提交相应的资格证明资料（详见采购公告投标人资质要求）。</w:t>
            </w:r>
          </w:p>
        </w:tc>
      </w:tr>
      <w:tr w14:paraId="64C9F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1" w:type="pct"/>
            <w:vAlign w:val="center"/>
          </w:tcPr>
          <w:p w14:paraId="5213ADD9">
            <w:pPr>
              <w:numPr>
                <w:ilvl w:val="0"/>
                <w:numId w:val="1"/>
              </w:numPr>
              <w:spacing w:line="360" w:lineRule="exact"/>
              <w:rPr>
                <w:rFonts w:ascii="宋体" w:hAnsi="宋体" w:cs="宋体"/>
                <w:color w:val="000000" w:themeColor="text1"/>
                <w:highlight w:val="none"/>
                <w14:textFill>
                  <w14:solidFill>
                    <w14:schemeClr w14:val="tx1"/>
                  </w14:solidFill>
                </w14:textFill>
              </w:rPr>
            </w:pPr>
          </w:p>
        </w:tc>
        <w:tc>
          <w:tcPr>
            <w:tcW w:w="4598" w:type="pct"/>
            <w:vAlign w:val="center"/>
          </w:tcPr>
          <w:p w14:paraId="350C521C">
            <w:pPr>
              <w:spacing w:line="360" w:lineRule="exac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不具备国家有关法律规定的有关资质的。</w:t>
            </w:r>
          </w:p>
        </w:tc>
      </w:tr>
      <w:tr w14:paraId="007D5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1" w:type="pct"/>
            <w:vAlign w:val="center"/>
          </w:tcPr>
          <w:p w14:paraId="361F1144">
            <w:pPr>
              <w:numPr>
                <w:ilvl w:val="0"/>
                <w:numId w:val="1"/>
              </w:numPr>
              <w:spacing w:line="360" w:lineRule="exact"/>
              <w:rPr>
                <w:rFonts w:ascii="宋体" w:hAnsi="宋体" w:cs="宋体"/>
                <w:color w:val="000000" w:themeColor="text1"/>
                <w:highlight w:val="none"/>
                <w14:textFill>
                  <w14:solidFill>
                    <w14:schemeClr w14:val="tx1"/>
                  </w14:solidFill>
                </w14:textFill>
              </w:rPr>
            </w:pPr>
          </w:p>
        </w:tc>
        <w:tc>
          <w:tcPr>
            <w:tcW w:w="4598" w:type="pct"/>
            <w:vAlign w:val="center"/>
          </w:tcPr>
          <w:p w14:paraId="4F8B2F81">
            <w:pPr>
              <w:spacing w:line="360" w:lineRule="exact"/>
              <w:rPr>
                <w:rFonts w:hint="eastAsia" w:ascii="宋体" w:hAnsi="宋体" w:cs="宋体"/>
                <w:color w:val="000000" w:themeColor="text1"/>
                <w:highlight w:val="none"/>
                <w14:textFill>
                  <w14:solidFill>
                    <w14:schemeClr w14:val="tx1"/>
                  </w14:solidFill>
                </w14:textFill>
              </w:rPr>
            </w:pPr>
            <w:r>
              <w:rPr>
                <w:rFonts w:hint="eastAsia"/>
                <w:b/>
                <w:bCs/>
                <w:color w:val="FF0000"/>
                <w:sz w:val="22"/>
                <w:highlight w:val="none"/>
              </w:rPr>
              <w:t>如实填写供应商基本情况表，且不存在该情况：不同投标供应商的法定代表人、主要经营负责人、投标授权代表人、项目负责人、主要技术人员为同一人、属同一单位或者在同一单位缴纳社会保险；不同投标供应商存在单位负责人为同一人或直接控股、管理关系。</w:t>
            </w:r>
          </w:p>
        </w:tc>
      </w:tr>
      <w:tr w14:paraId="1DAFA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2"/>
            <w:vAlign w:val="center"/>
          </w:tcPr>
          <w:p w14:paraId="346627C3">
            <w:pPr>
              <w:spacing w:line="360" w:lineRule="exact"/>
              <w:jc w:val="center"/>
              <w:rPr>
                <w:rFonts w:ascii="宋体" w:hAnsi="宋体" w:cs="宋体"/>
                <w:b/>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符合性审查表</w:t>
            </w:r>
          </w:p>
        </w:tc>
      </w:tr>
      <w:tr w14:paraId="411D1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1" w:type="pct"/>
            <w:vAlign w:val="center"/>
          </w:tcPr>
          <w:p w14:paraId="5AEF4056">
            <w:pPr>
              <w:numPr>
                <w:ilvl w:val="0"/>
                <w:numId w:val="2"/>
              </w:numPr>
              <w:spacing w:line="360" w:lineRule="exact"/>
              <w:rPr>
                <w:rFonts w:ascii="宋体" w:hAnsi="宋体" w:cs="宋体"/>
                <w:color w:val="000000" w:themeColor="text1"/>
                <w:highlight w:val="none"/>
                <w14:textFill>
                  <w14:solidFill>
                    <w14:schemeClr w14:val="tx1"/>
                  </w14:solidFill>
                </w14:textFill>
              </w:rPr>
            </w:pPr>
          </w:p>
        </w:tc>
        <w:tc>
          <w:tcPr>
            <w:tcW w:w="4598" w:type="pct"/>
            <w:vAlign w:val="center"/>
          </w:tcPr>
          <w:p w14:paraId="4CECBA79">
            <w:pPr>
              <w:spacing w:line="360" w:lineRule="exac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将一个包中的内容拆开投标。</w:t>
            </w:r>
          </w:p>
        </w:tc>
      </w:tr>
      <w:tr w14:paraId="4D6AC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1" w:type="pct"/>
            <w:vAlign w:val="center"/>
          </w:tcPr>
          <w:p w14:paraId="54EBE074">
            <w:pPr>
              <w:numPr>
                <w:ilvl w:val="0"/>
                <w:numId w:val="2"/>
              </w:numPr>
              <w:spacing w:line="360" w:lineRule="exact"/>
              <w:rPr>
                <w:rFonts w:ascii="宋体" w:hAnsi="宋体" w:cs="宋体"/>
                <w:color w:val="000000" w:themeColor="text1"/>
                <w:highlight w:val="none"/>
                <w14:textFill>
                  <w14:solidFill>
                    <w14:schemeClr w14:val="tx1"/>
                  </w14:solidFill>
                </w14:textFill>
              </w:rPr>
            </w:pPr>
          </w:p>
        </w:tc>
        <w:tc>
          <w:tcPr>
            <w:tcW w:w="4598" w:type="pct"/>
            <w:vAlign w:val="center"/>
          </w:tcPr>
          <w:p w14:paraId="37CD302C">
            <w:pPr>
              <w:spacing w:line="360" w:lineRule="exac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采购文件未规定允许有替代方案时，对同一货物投标时，同时提供两套或两套以上的投标方案。</w:t>
            </w:r>
          </w:p>
        </w:tc>
      </w:tr>
      <w:tr w14:paraId="2C7CE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1" w:type="pct"/>
            <w:vAlign w:val="center"/>
          </w:tcPr>
          <w:p w14:paraId="09162CE1">
            <w:pPr>
              <w:numPr>
                <w:ilvl w:val="0"/>
                <w:numId w:val="2"/>
              </w:numPr>
              <w:spacing w:line="360" w:lineRule="exact"/>
              <w:rPr>
                <w:rFonts w:ascii="宋体" w:hAnsi="宋体" w:cs="宋体"/>
                <w:color w:val="000000" w:themeColor="text1"/>
                <w:highlight w:val="none"/>
                <w14:textFill>
                  <w14:solidFill>
                    <w14:schemeClr w14:val="tx1"/>
                  </w14:solidFill>
                </w14:textFill>
              </w:rPr>
            </w:pPr>
          </w:p>
        </w:tc>
        <w:tc>
          <w:tcPr>
            <w:tcW w:w="4598" w:type="pct"/>
            <w:vAlign w:val="center"/>
          </w:tcPr>
          <w:p w14:paraId="3F979106">
            <w:pPr>
              <w:spacing w:line="360" w:lineRule="exac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投标总价或分项报价高于财政预算限额的。</w:t>
            </w:r>
          </w:p>
        </w:tc>
      </w:tr>
      <w:tr w14:paraId="23E96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1" w:type="pct"/>
            <w:vAlign w:val="center"/>
          </w:tcPr>
          <w:p w14:paraId="7C28DF5B">
            <w:pPr>
              <w:numPr>
                <w:ilvl w:val="0"/>
                <w:numId w:val="2"/>
              </w:numPr>
              <w:spacing w:line="360" w:lineRule="exact"/>
              <w:rPr>
                <w:rFonts w:ascii="宋体" w:hAnsi="宋体" w:cs="宋体"/>
                <w:color w:val="000000" w:themeColor="text1"/>
                <w:highlight w:val="none"/>
                <w14:textFill>
                  <w14:solidFill>
                    <w14:schemeClr w14:val="tx1"/>
                  </w14:solidFill>
                </w14:textFill>
              </w:rPr>
            </w:pPr>
          </w:p>
        </w:tc>
        <w:tc>
          <w:tcPr>
            <w:tcW w:w="4598" w:type="pct"/>
            <w:vAlign w:val="center"/>
          </w:tcPr>
          <w:p w14:paraId="3AC639B3">
            <w:pPr>
              <w:spacing w:line="360" w:lineRule="exac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同一项目出现两个或以上报价。</w:t>
            </w:r>
          </w:p>
        </w:tc>
      </w:tr>
      <w:tr w14:paraId="0BDE3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1" w:type="pct"/>
            <w:vAlign w:val="center"/>
          </w:tcPr>
          <w:p w14:paraId="75182CD2">
            <w:pPr>
              <w:numPr>
                <w:ilvl w:val="0"/>
                <w:numId w:val="2"/>
              </w:numPr>
              <w:spacing w:line="360" w:lineRule="exact"/>
              <w:rPr>
                <w:rFonts w:ascii="宋体" w:hAnsi="宋体" w:cs="宋体"/>
                <w:color w:val="000000" w:themeColor="text1"/>
                <w:highlight w:val="none"/>
                <w14:textFill>
                  <w14:solidFill>
                    <w14:schemeClr w14:val="tx1"/>
                  </w14:solidFill>
                </w14:textFill>
              </w:rPr>
            </w:pPr>
          </w:p>
        </w:tc>
        <w:tc>
          <w:tcPr>
            <w:tcW w:w="4598" w:type="pct"/>
            <w:vAlign w:val="center"/>
          </w:tcPr>
          <w:p w14:paraId="4097AC5F">
            <w:pPr>
              <w:spacing w:line="360" w:lineRule="exac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评审委员会认为投标人的报价明显低于其他通过符合性审查投标人的报价，有可能影响产品质量或者不能诚信履约的，投标人不能在合理的时间内提供书面说明，或无法提交相关证明材料，投标人不能证明其报价合理性的（若评审委员会成员对是否须由投标人作出报价合理性说明，以及书面说明是否采纳等判断不一致的，按照“少数服从多数”的原则确定评审委员会的意见）。</w:t>
            </w:r>
          </w:p>
        </w:tc>
      </w:tr>
      <w:tr w14:paraId="04B5E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1" w:type="pct"/>
            <w:vAlign w:val="center"/>
          </w:tcPr>
          <w:p w14:paraId="3719D54B">
            <w:pPr>
              <w:numPr>
                <w:ilvl w:val="0"/>
                <w:numId w:val="2"/>
              </w:numPr>
              <w:spacing w:line="360" w:lineRule="exact"/>
              <w:rPr>
                <w:rFonts w:ascii="宋体" w:hAnsi="宋体" w:cs="宋体"/>
                <w:color w:val="000000" w:themeColor="text1"/>
                <w:highlight w:val="none"/>
                <w14:textFill>
                  <w14:solidFill>
                    <w14:schemeClr w14:val="tx1"/>
                  </w14:solidFill>
                </w14:textFill>
              </w:rPr>
            </w:pPr>
          </w:p>
        </w:tc>
        <w:tc>
          <w:tcPr>
            <w:tcW w:w="4598" w:type="pct"/>
            <w:vAlign w:val="center"/>
          </w:tcPr>
          <w:p w14:paraId="2C3DCED8">
            <w:pPr>
              <w:spacing w:line="360" w:lineRule="exac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投标报价有严重缺漏项目或对采购文件规定的服务清单项目及数量进行修改。</w:t>
            </w:r>
          </w:p>
        </w:tc>
      </w:tr>
      <w:tr w14:paraId="26ECE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1" w:type="pct"/>
            <w:vAlign w:val="center"/>
          </w:tcPr>
          <w:p w14:paraId="189305B4">
            <w:pPr>
              <w:numPr>
                <w:ilvl w:val="0"/>
                <w:numId w:val="2"/>
              </w:numPr>
              <w:spacing w:line="360" w:lineRule="exact"/>
              <w:rPr>
                <w:rFonts w:ascii="宋体" w:hAnsi="宋体" w:cs="宋体"/>
                <w:color w:val="000000" w:themeColor="text1"/>
                <w:highlight w:val="none"/>
                <w14:textFill>
                  <w14:solidFill>
                    <w14:schemeClr w14:val="tx1"/>
                  </w14:solidFill>
                </w14:textFill>
              </w:rPr>
            </w:pPr>
          </w:p>
        </w:tc>
        <w:tc>
          <w:tcPr>
            <w:tcW w:w="4598" w:type="pct"/>
            <w:vAlign w:val="center"/>
          </w:tcPr>
          <w:p w14:paraId="3DBC2CC2">
            <w:pPr>
              <w:spacing w:line="360" w:lineRule="exac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投标文件载明的服务期（完工期）超过采购文件规定的期限。</w:t>
            </w:r>
          </w:p>
        </w:tc>
      </w:tr>
      <w:tr w14:paraId="11EA8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1" w:type="pct"/>
            <w:vAlign w:val="center"/>
          </w:tcPr>
          <w:p w14:paraId="416880C9">
            <w:pPr>
              <w:numPr>
                <w:ilvl w:val="0"/>
                <w:numId w:val="2"/>
              </w:numPr>
              <w:spacing w:line="360" w:lineRule="exact"/>
              <w:rPr>
                <w:rFonts w:ascii="宋体" w:hAnsi="宋体" w:cs="宋体"/>
                <w:color w:val="000000" w:themeColor="text1"/>
                <w:highlight w:val="none"/>
                <w14:textFill>
                  <w14:solidFill>
                    <w14:schemeClr w14:val="tx1"/>
                  </w14:solidFill>
                </w14:textFill>
              </w:rPr>
            </w:pPr>
          </w:p>
        </w:tc>
        <w:tc>
          <w:tcPr>
            <w:tcW w:w="4598" w:type="pct"/>
            <w:vAlign w:val="center"/>
          </w:tcPr>
          <w:p w14:paraId="54560B99">
            <w:pPr>
              <w:spacing w:line="360" w:lineRule="exac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投标文件载明的免费保修期低于采购文件规定的期限。</w:t>
            </w:r>
          </w:p>
        </w:tc>
      </w:tr>
      <w:tr w14:paraId="43AEC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1" w:type="pct"/>
            <w:vAlign w:val="center"/>
          </w:tcPr>
          <w:p w14:paraId="51909A08">
            <w:pPr>
              <w:numPr>
                <w:ilvl w:val="0"/>
                <w:numId w:val="2"/>
              </w:numPr>
              <w:spacing w:line="360" w:lineRule="exact"/>
              <w:rPr>
                <w:rFonts w:ascii="宋体" w:hAnsi="宋体" w:cs="宋体"/>
                <w:color w:val="000000" w:themeColor="text1"/>
                <w:highlight w:val="none"/>
                <w14:textFill>
                  <w14:solidFill>
                    <w14:schemeClr w14:val="tx1"/>
                  </w14:solidFill>
                </w14:textFill>
              </w:rPr>
            </w:pPr>
          </w:p>
        </w:tc>
        <w:tc>
          <w:tcPr>
            <w:tcW w:w="4598" w:type="pct"/>
            <w:vAlign w:val="center"/>
          </w:tcPr>
          <w:p w14:paraId="7E5C2039">
            <w:pPr>
              <w:spacing w:line="360" w:lineRule="exac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所投产品、工程、服务在质量、技术、方案等方面没有实质性满足采购文件要求 。</w:t>
            </w:r>
          </w:p>
        </w:tc>
      </w:tr>
      <w:tr w14:paraId="42CC0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1" w:type="pct"/>
            <w:vAlign w:val="center"/>
          </w:tcPr>
          <w:p w14:paraId="397950D2">
            <w:pPr>
              <w:numPr>
                <w:ilvl w:val="0"/>
                <w:numId w:val="2"/>
              </w:numPr>
              <w:spacing w:line="360" w:lineRule="exact"/>
              <w:rPr>
                <w:rFonts w:ascii="宋体" w:hAnsi="宋体" w:cs="宋体"/>
                <w:color w:val="000000" w:themeColor="text1"/>
                <w:highlight w:val="none"/>
                <w14:textFill>
                  <w14:solidFill>
                    <w14:schemeClr w14:val="tx1"/>
                  </w14:solidFill>
                </w14:textFill>
              </w:rPr>
            </w:pPr>
          </w:p>
        </w:tc>
        <w:tc>
          <w:tcPr>
            <w:tcW w:w="4598" w:type="pct"/>
            <w:vAlign w:val="center"/>
          </w:tcPr>
          <w:p w14:paraId="74920E91">
            <w:pPr>
              <w:spacing w:line="360" w:lineRule="exac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未按采购文件提供《投标函》；未按采购文件对投标文件组成的要求提供投标文件的（投标文件组成不完整）；投标文件的数量、制作、密封、标记、签字盖章不符合采购文件要求；投标文件无法定代表人有效授权的。</w:t>
            </w:r>
          </w:p>
        </w:tc>
      </w:tr>
      <w:tr w14:paraId="24A37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1" w:type="pct"/>
            <w:vAlign w:val="center"/>
          </w:tcPr>
          <w:p w14:paraId="096E7144">
            <w:pPr>
              <w:numPr>
                <w:ilvl w:val="0"/>
                <w:numId w:val="2"/>
              </w:numPr>
              <w:spacing w:line="360" w:lineRule="exact"/>
              <w:rPr>
                <w:rFonts w:ascii="宋体" w:hAnsi="宋体" w:cs="宋体"/>
                <w:color w:val="000000" w:themeColor="text1"/>
                <w:highlight w:val="none"/>
                <w14:textFill>
                  <w14:solidFill>
                    <w14:schemeClr w14:val="tx1"/>
                  </w14:solidFill>
                </w14:textFill>
              </w:rPr>
            </w:pPr>
          </w:p>
        </w:tc>
        <w:tc>
          <w:tcPr>
            <w:tcW w:w="4598" w:type="pct"/>
            <w:vAlign w:val="center"/>
          </w:tcPr>
          <w:p w14:paraId="7E5A1889">
            <w:pPr>
              <w:spacing w:line="360" w:lineRule="exac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未提供投标文件电子文档或者有病毒。</w:t>
            </w:r>
          </w:p>
        </w:tc>
      </w:tr>
      <w:tr w14:paraId="55F7D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1" w:type="pct"/>
            <w:vAlign w:val="center"/>
          </w:tcPr>
          <w:p w14:paraId="06156421">
            <w:pPr>
              <w:numPr>
                <w:ilvl w:val="0"/>
                <w:numId w:val="2"/>
              </w:numPr>
              <w:spacing w:line="360" w:lineRule="exact"/>
              <w:rPr>
                <w:rFonts w:ascii="宋体" w:hAnsi="宋体" w:cs="宋体"/>
                <w:color w:val="000000" w:themeColor="text1"/>
                <w:highlight w:val="none"/>
                <w14:textFill>
                  <w14:solidFill>
                    <w14:schemeClr w14:val="tx1"/>
                  </w14:solidFill>
                </w14:textFill>
              </w:rPr>
            </w:pPr>
          </w:p>
        </w:tc>
        <w:tc>
          <w:tcPr>
            <w:tcW w:w="4598" w:type="pct"/>
            <w:vAlign w:val="center"/>
          </w:tcPr>
          <w:p w14:paraId="3B703C31">
            <w:pPr>
              <w:spacing w:line="360" w:lineRule="exac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法律、法规规定的其他情形。</w:t>
            </w:r>
          </w:p>
        </w:tc>
      </w:tr>
    </w:tbl>
    <w:p w14:paraId="20520CC7">
      <w:pPr>
        <w:rPr>
          <w:rFonts w:hint="eastAsia" w:ascii="宋体" w:hAnsi="宋体" w:eastAsia="宋体" w:cs="宋体"/>
          <w:b/>
          <w:color w:val="auto"/>
          <w:highlight w:val="none"/>
        </w:rPr>
      </w:pPr>
    </w:p>
    <w:p w14:paraId="39482E2A">
      <w:pP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备注：《资格性审查表》和《符合性审查表》初审不通过，按投标无效处理。</w:t>
      </w:r>
    </w:p>
    <w:p w14:paraId="0ECA737F">
      <w:pPr>
        <w:pStyle w:val="2"/>
        <w:spacing w:before="0" w:after="0" w:line="240" w:lineRule="auto"/>
        <w:rPr>
          <w:rFonts w:hint="eastAsia" w:ascii="宋体" w:hAnsi="宋体" w:eastAsia="宋体" w:cs="宋体"/>
          <w:color w:val="auto"/>
          <w:highlight w:val="none"/>
        </w:rPr>
      </w:pPr>
      <w:r>
        <w:rPr>
          <w:rFonts w:hint="eastAsia" w:ascii="宋体" w:hAnsi="宋体" w:eastAsia="宋体" w:cs="宋体"/>
          <w:color w:val="auto"/>
          <w:highlight w:val="none"/>
        </w:rPr>
        <w:br w:type="page"/>
      </w:r>
      <w:r>
        <w:rPr>
          <w:rFonts w:hint="eastAsia" w:ascii="宋体" w:hAnsi="宋体" w:eastAsia="宋体" w:cs="宋体"/>
          <w:b/>
          <w:color w:val="auto"/>
          <w:sz w:val="28"/>
          <w:szCs w:val="28"/>
          <w:highlight w:val="none"/>
        </w:rPr>
        <w:t>评标信息</w:t>
      </w:r>
    </w:p>
    <w:p w14:paraId="441E8CF8">
      <w:pPr>
        <w:spacing w:line="360" w:lineRule="exac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评标方法：</w:t>
      </w:r>
      <w:r>
        <w:rPr>
          <w:rFonts w:hint="eastAsia" w:ascii="宋体" w:hAnsi="宋体" w:cs="宋体"/>
          <w:color w:val="auto"/>
          <w:sz w:val="22"/>
          <w:szCs w:val="22"/>
          <w:highlight w:val="none"/>
        </w:rPr>
        <w:t>综合评分法。按照招标文件中规定的各项因素进行量化打分，以评标总得分的平均分最高的投标人</w:t>
      </w:r>
      <w:r>
        <w:rPr>
          <w:rFonts w:hint="eastAsia" w:ascii="宋体" w:hAnsi="宋体" w:cs="宋体"/>
          <w:bCs/>
          <w:color w:val="auto"/>
          <w:sz w:val="22"/>
          <w:szCs w:val="22"/>
          <w:highlight w:val="none"/>
        </w:rPr>
        <w:t>为第一候选中标供应商，次高者为第二候选中标供应商；采购人授权评标委员会直接确定第一候选中标供应商为中标人。</w:t>
      </w:r>
    </w:p>
    <w:p w14:paraId="06F14A31">
      <w:pPr>
        <w:spacing w:line="360" w:lineRule="exac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综合评分法中的价格分统一采用低价优先法计算。即满足采购文件要求且投标价格最低的投标报价为评标基准价，其价格分为满分。其他投标人的价格分统一按照下列公式计算：投标报价得分=(评标基准价/投标报价)×分值</w:t>
      </w:r>
    </w:p>
    <w:tbl>
      <w:tblPr>
        <w:tblStyle w:val="23"/>
        <w:tblW w:w="4998"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20" w:type="dxa"/>
          <w:left w:w="108" w:type="dxa"/>
          <w:bottom w:w="20" w:type="dxa"/>
          <w:right w:w="108" w:type="dxa"/>
        </w:tblCellMar>
      </w:tblPr>
      <w:tblGrid>
        <w:gridCol w:w="638"/>
        <w:gridCol w:w="638"/>
        <w:gridCol w:w="1859"/>
        <w:gridCol w:w="815"/>
        <w:gridCol w:w="4576"/>
        <w:tblGridChange w:id="0">
          <w:tblGrid>
            <w:gridCol w:w="2"/>
            <w:gridCol w:w="636"/>
            <w:gridCol w:w="2"/>
            <w:gridCol w:w="636"/>
            <w:gridCol w:w="2"/>
            <w:gridCol w:w="1857"/>
            <w:gridCol w:w="2"/>
            <w:gridCol w:w="813"/>
            <w:gridCol w:w="2"/>
            <w:gridCol w:w="4574"/>
            <w:gridCol w:w="2"/>
          </w:tblGrid>
        </w:tblGridChange>
      </w:tblGrid>
      <w:tr w14:paraId="3F42195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0" w:hRule="atLeast"/>
          <w:jc w:val="center"/>
        </w:trPr>
        <w:tc>
          <w:tcPr>
            <w:tcW w:w="374" w:type="pct"/>
            <w:tcBorders>
              <w:top w:val="single" w:color="000000" w:sz="8" w:space="0"/>
              <w:left w:val="single" w:color="000000" w:sz="8" w:space="0"/>
              <w:bottom w:val="single" w:color="000000" w:sz="8" w:space="0"/>
              <w:right w:val="single" w:color="000000" w:sz="8" w:space="0"/>
            </w:tcBorders>
            <w:shd w:val="clear" w:color="auto" w:fill="E6EFFA"/>
            <w:noWrap w:val="0"/>
            <w:vAlign w:val="center"/>
          </w:tcPr>
          <w:p w14:paraId="08D437EE">
            <w:pPr>
              <w:keepNext w:val="0"/>
              <w:keepLines w:val="0"/>
              <w:pageBreakBefore w:val="0"/>
              <w:kinsoku/>
              <w:wordWrap w:val="0"/>
              <w:overflowPunct/>
              <w:topLinePunct w:val="0"/>
              <w:bidi w:val="0"/>
              <w:spacing w:line="240" w:lineRule="auto"/>
              <w:jc w:val="center"/>
              <w:rPr>
                <w:rFonts w:hint="eastAsia" w:ascii="宋体" w:hAnsi="宋体" w:eastAsia="宋体" w:cs="宋体"/>
                <w:b/>
                <w:bCs/>
                <w:sz w:val="22"/>
                <w:szCs w:val="22"/>
                <w:highlight w:val="none"/>
              </w:rPr>
            </w:pPr>
            <w:r>
              <w:rPr>
                <w:rFonts w:hint="eastAsia" w:ascii="宋体" w:hAnsi="宋体" w:eastAsia="宋体" w:cs="宋体"/>
                <w:b/>
                <w:bCs/>
                <w:sz w:val="22"/>
                <w:szCs w:val="22"/>
                <w:highlight w:val="none"/>
              </w:rPr>
              <w:t>序号</w:t>
            </w:r>
          </w:p>
        </w:tc>
        <w:tc>
          <w:tcPr>
            <w:tcW w:w="1942" w:type="pct"/>
            <w:gridSpan w:val="3"/>
            <w:tcBorders>
              <w:top w:val="single" w:color="000000" w:sz="8" w:space="0"/>
              <w:left w:val="single" w:color="000000" w:sz="8" w:space="0"/>
              <w:bottom w:val="single" w:color="000000" w:sz="8" w:space="0"/>
              <w:right w:val="single" w:color="000000" w:sz="8" w:space="0"/>
            </w:tcBorders>
            <w:shd w:val="clear" w:color="auto" w:fill="E6EFFA"/>
            <w:noWrap w:val="0"/>
            <w:vAlign w:val="center"/>
          </w:tcPr>
          <w:p w14:paraId="40DE542C">
            <w:pPr>
              <w:keepNext w:val="0"/>
              <w:keepLines w:val="0"/>
              <w:pageBreakBefore w:val="0"/>
              <w:kinsoku/>
              <w:wordWrap w:val="0"/>
              <w:overflowPunct/>
              <w:topLinePunct w:val="0"/>
              <w:bidi w:val="0"/>
              <w:spacing w:line="240" w:lineRule="auto"/>
              <w:jc w:val="center"/>
              <w:rPr>
                <w:rFonts w:hint="eastAsia" w:ascii="宋体" w:hAnsi="宋体" w:eastAsia="宋体" w:cs="宋体"/>
                <w:b/>
                <w:bCs/>
                <w:sz w:val="22"/>
                <w:szCs w:val="22"/>
                <w:highlight w:val="none"/>
              </w:rPr>
            </w:pPr>
            <w:r>
              <w:rPr>
                <w:rFonts w:hint="eastAsia" w:ascii="宋体" w:hAnsi="宋体" w:eastAsia="宋体" w:cs="宋体"/>
                <w:b/>
                <w:bCs/>
                <w:sz w:val="22"/>
                <w:szCs w:val="22"/>
                <w:highlight w:val="none"/>
              </w:rPr>
              <w:t>评分项</w:t>
            </w:r>
          </w:p>
        </w:tc>
        <w:tc>
          <w:tcPr>
            <w:tcW w:w="2683" w:type="pct"/>
            <w:tcBorders>
              <w:top w:val="single" w:color="000000" w:sz="8" w:space="0"/>
              <w:left w:val="single" w:color="000000" w:sz="8" w:space="0"/>
              <w:bottom w:val="single" w:color="000000" w:sz="8" w:space="0"/>
              <w:right w:val="single" w:color="000000" w:sz="8" w:space="0"/>
            </w:tcBorders>
            <w:shd w:val="clear" w:color="auto" w:fill="E6EFFA"/>
            <w:noWrap w:val="0"/>
            <w:vAlign w:val="center"/>
          </w:tcPr>
          <w:p w14:paraId="5603DD36">
            <w:pPr>
              <w:keepNext w:val="0"/>
              <w:keepLines w:val="0"/>
              <w:pageBreakBefore w:val="0"/>
              <w:kinsoku/>
              <w:wordWrap w:val="0"/>
              <w:overflowPunct/>
              <w:topLinePunct w:val="0"/>
              <w:bidi w:val="0"/>
              <w:spacing w:line="240" w:lineRule="auto"/>
              <w:jc w:val="center"/>
              <w:rPr>
                <w:rFonts w:hint="default" w:ascii="宋体" w:hAnsi="宋体" w:eastAsia="宋体" w:cs="宋体"/>
                <w:b/>
                <w:bCs/>
                <w:sz w:val="22"/>
                <w:szCs w:val="22"/>
                <w:highlight w:val="none"/>
              </w:rPr>
            </w:pPr>
            <w:r>
              <w:rPr>
                <w:rFonts w:hint="default" w:ascii="宋体" w:hAnsi="宋体" w:cs="宋体"/>
                <w:b/>
                <w:bCs/>
                <w:sz w:val="22"/>
                <w:szCs w:val="22"/>
                <w:highlight w:val="none"/>
              </w:rPr>
              <w:t>分值</w:t>
            </w:r>
          </w:p>
        </w:tc>
      </w:tr>
      <w:tr w14:paraId="3CF32FB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0" w:hRule="atLeast"/>
          <w:jc w:val="center"/>
        </w:trPr>
        <w:tc>
          <w:tcPr>
            <w:tcW w:w="374" w:type="pct"/>
            <w:tcBorders>
              <w:top w:val="single" w:color="000000" w:sz="8" w:space="0"/>
              <w:left w:val="single" w:color="000000" w:sz="8" w:space="0"/>
              <w:bottom w:val="single" w:color="000000" w:sz="8" w:space="0"/>
              <w:right w:val="single" w:color="000000" w:sz="8" w:space="0"/>
            </w:tcBorders>
            <w:noWrap w:val="0"/>
            <w:vAlign w:val="top"/>
          </w:tcPr>
          <w:p w14:paraId="197C6479">
            <w:pPr>
              <w:keepNext w:val="0"/>
              <w:keepLines w:val="0"/>
              <w:pageBreakBefore w:val="0"/>
              <w:kinsoku/>
              <w:wordWrap w:val="0"/>
              <w:overflowPunct/>
              <w:topLinePunct w:val="0"/>
              <w:bidi w:val="0"/>
              <w:spacing w:line="240" w:lineRule="auto"/>
              <w:jc w:val="center"/>
              <w:rPr>
                <w:rFonts w:hint="eastAsia" w:ascii="宋体" w:hAnsi="宋体" w:eastAsia="宋体" w:cs="宋体"/>
                <w:b/>
                <w:bCs/>
                <w:color w:val="0000FF"/>
                <w:sz w:val="22"/>
                <w:szCs w:val="22"/>
                <w:highlight w:val="none"/>
              </w:rPr>
            </w:pPr>
            <w:r>
              <w:rPr>
                <w:rFonts w:hint="eastAsia" w:ascii="宋体" w:hAnsi="宋体" w:eastAsia="宋体" w:cs="宋体"/>
                <w:b/>
                <w:bCs/>
                <w:color w:val="0000FF"/>
                <w:sz w:val="22"/>
                <w:szCs w:val="22"/>
                <w:highlight w:val="none"/>
              </w:rPr>
              <w:t>1</w:t>
            </w:r>
          </w:p>
        </w:tc>
        <w:tc>
          <w:tcPr>
            <w:tcW w:w="1942" w:type="pct"/>
            <w:gridSpan w:val="3"/>
            <w:tcBorders>
              <w:top w:val="single" w:color="000000" w:sz="8" w:space="0"/>
              <w:left w:val="single" w:color="000000" w:sz="8" w:space="0"/>
              <w:bottom w:val="single" w:color="000000" w:sz="8" w:space="0"/>
              <w:right w:val="single" w:color="000000" w:sz="8" w:space="0"/>
            </w:tcBorders>
            <w:noWrap w:val="0"/>
            <w:vAlign w:val="top"/>
          </w:tcPr>
          <w:p w14:paraId="1B582093">
            <w:pPr>
              <w:keepNext w:val="0"/>
              <w:keepLines w:val="0"/>
              <w:pageBreakBefore w:val="0"/>
              <w:kinsoku/>
              <w:wordWrap w:val="0"/>
              <w:overflowPunct/>
              <w:topLinePunct w:val="0"/>
              <w:bidi w:val="0"/>
              <w:spacing w:line="240" w:lineRule="auto"/>
              <w:jc w:val="center"/>
              <w:rPr>
                <w:rFonts w:hint="eastAsia" w:ascii="宋体" w:hAnsi="宋体" w:eastAsia="宋体" w:cs="宋体"/>
                <w:b/>
                <w:bCs/>
                <w:color w:val="0000FF"/>
                <w:sz w:val="22"/>
                <w:szCs w:val="22"/>
                <w:highlight w:val="none"/>
              </w:rPr>
            </w:pPr>
            <w:r>
              <w:rPr>
                <w:rFonts w:hint="eastAsia" w:ascii="宋体" w:hAnsi="宋体" w:eastAsia="宋体" w:cs="宋体"/>
                <w:b/>
                <w:bCs/>
                <w:color w:val="0000FF"/>
                <w:sz w:val="22"/>
                <w:szCs w:val="22"/>
                <w:highlight w:val="none"/>
              </w:rPr>
              <w:t>价格</w:t>
            </w:r>
          </w:p>
        </w:tc>
        <w:tc>
          <w:tcPr>
            <w:tcW w:w="2683" w:type="pct"/>
            <w:tcBorders>
              <w:top w:val="single" w:color="000000" w:sz="8" w:space="0"/>
              <w:left w:val="single" w:color="000000" w:sz="8" w:space="0"/>
              <w:bottom w:val="single" w:color="000000" w:sz="8" w:space="0"/>
              <w:right w:val="single" w:color="000000" w:sz="8" w:space="0"/>
            </w:tcBorders>
            <w:noWrap w:val="0"/>
            <w:vAlign w:val="top"/>
          </w:tcPr>
          <w:p w14:paraId="141547A6">
            <w:pPr>
              <w:keepNext w:val="0"/>
              <w:keepLines w:val="0"/>
              <w:pageBreakBefore w:val="0"/>
              <w:kinsoku/>
              <w:wordWrap w:val="0"/>
              <w:overflowPunct/>
              <w:topLinePunct w:val="0"/>
              <w:bidi w:val="0"/>
              <w:spacing w:line="240" w:lineRule="auto"/>
              <w:jc w:val="center"/>
              <w:rPr>
                <w:rFonts w:hint="eastAsia" w:ascii="宋体" w:hAnsi="宋体" w:eastAsia="宋体" w:cs="宋体"/>
                <w:b/>
                <w:bCs/>
                <w:color w:val="0000FF"/>
                <w:sz w:val="22"/>
                <w:szCs w:val="22"/>
                <w:highlight w:val="none"/>
              </w:rPr>
            </w:pPr>
            <w:r>
              <w:rPr>
                <w:rFonts w:hint="eastAsia" w:ascii="宋体" w:hAnsi="宋体" w:eastAsia="宋体" w:cs="宋体"/>
                <w:b/>
                <w:bCs/>
                <w:color w:val="0000FF"/>
                <w:sz w:val="22"/>
                <w:szCs w:val="22"/>
                <w:highlight w:val="none"/>
              </w:rPr>
              <w:t>10</w:t>
            </w:r>
          </w:p>
        </w:tc>
      </w:tr>
      <w:tr w14:paraId="03BF4E0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0" w:hRule="atLeast"/>
          <w:jc w:val="center"/>
        </w:trPr>
        <w:tc>
          <w:tcPr>
            <w:tcW w:w="374" w:type="pct"/>
            <w:vMerge w:val="restart"/>
            <w:tcBorders>
              <w:top w:val="single" w:color="000000" w:sz="8" w:space="0"/>
              <w:left w:val="single" w:color="000000" w:sz="8" w:space="0"/>
              <w:bottom w:val="single" w:color="000000" w:sz="8" w:space="0"/>
              <w:right w:val="single" w:color="000000" w:sz="8" w:space="0"/>
            </w:tcBorders>
            <w:noWrap w:val="0"/>
            <w:vAlign w:val="top"/>
          </w:tcPr>
          <w:p w14:paraId="6B792E71">
            <w:pPr>
              <w:keepNext w:val="0"/>
              <w:keepLines w:val="0"/>
              <w:pageBreakBefore w:val="0"/>
              <w:kinsoku/>
              <w:wordWrap w:val="0"/>
              <w:overflowPunct/>
              <w:topLinePunct w:val="0"/>
              <w:bidi w:val="0"/>
              <w:spacing w:line="240" w:lineRule="auto"/>
              <w:jc w:val="center"/>
              <w:rPr>
                <w:rFonts w:hint="eastAsia" w:ascii="宋体" w:hAnsi="宋体" w:eastAsia="宋体" w:cs="宋体"/>
                <w:b/>
                <w:bCs/>
                <w:color w:val="0000FF"/>
                <w:sz w:val="22"/>
                <w:szCs w:val="22"/>
                <w:highlight w:val="none"/>
              </w:rPr>
            </w:pPr>
            <w:r>
              <w:rPr>
                <w:rFonts w:hint="eastAsia" w:ascii="宋体" w:hAnsi="宋体" w:eastAsia="宋体" w:cs="宋体"/>
                <w:b/>
                <w:bCs/>
                <w:color w:val="0000FF"/>
                <w:sz w:val="22"/>
                <w:szCs w:val="22"/>
                <w:highlight w:val="none"/>
              </w:rPr>
              <w:t>2</w:t>
            </w:r>
          </w:p>
        </w:tc>
        <w:tc>
          <w:tcPr>
            <w:tcW w:w="1942" w:type="pct"/>
            <w:gridSpan w:val="3"/>
            <w:tcBorders>
              <w:top w:val="single" w:color="000000" w:sz="8" w:space="0"/>
              <w:left w:val="single" w:color="000000" w:sz="8" w:space="0"/>
              <w:bottom w:val="single" w:color="000000" w:sz="8" w:space="0"/>
              <w:right w:val="single" w:color="000000" w:sz="8" w:space="0"/>
            </w:tcBorders>
            <w:noWrap w:val="0"/>
            <w:vAlign w:val="top"/>
          </w:tcPr>
          <w:p w14:paraId="3B7B18E9">
            <w:pPr>
              <w:keepNext w:val="0"/>
              <w:keepLines w:val="0"/>
              <w:pageBreakBefore w:val="0"/>
              <w:kinsoku/>
              <w:wordWrap w:val="0"/>
              <w:overflowPunct/>
              <w:topLinePunct w:val="0"/>
              <w:bidi w:val="0"/>
              <w:spacing w:line="240" w:lineRule="auto"/>
              <w:jc w:val="center"/>
              <w:rPr>
                <w:rFonts w:hint="eastAsia" w:ascii="宋体" w:hAnsi="宋体" w:eastAsia="宋体" w:cs="宋体"/>
                <w:b/>
                <w:bCs/>
                <w:color w:val="0000FF"/>
                <w:sz w:val="22"/>
                <w:szCs w:val="22"/>
                <w:highlight w:val="none"/>
              </w:rPr>
            </w:pPr>
            <w:r>
              <w:rPr>
                <w:rFonts w:hint="default" w:ascii="宋体" w:hAnsi="宋体" w:cs="宋体"/>
                <w:b/>
                <w:bCs/>
                <w:color w:val="0000FF"/>
                <w:sz w:val="22"/>
                <w:szCs w:val="22"/>
                <w:highlight w:val="none"/>
                <w:lang w:eastAsia="zh-CN"/>
              </w:rPr>
              <w:t>商务</w:t>
            </w:r>
            <w:r>
              <w:rPr>
                <w:rFonts w:hint="eastAsia" w:ascii="宋体" w:hAnsi="宋体" w:eastAsia="宋体" w:cs="宋体"/>
                <w:b/>
                <w:bCs/>
                <w:color w:val="0000FF"/>
                <w:sz w:val="22"/>
                <w:szCs w:val="22"/>
                <w:highlight w:val="none"/>
              </w:rPr>
              <w:t>部分</w:t>
            </w:r>
          </w:p>
        </w:tc>
        <w:tc>
          <w:tcPr>
            <w:tcW w:w="2683" w:type="pct"/>
            <w:tcBorders>
              <w:top w:val="single" w:color="000000" w:sz="8" w:space="0"/>
              <w:left w:val="single" w:color="000000" w:sz="8" w:space="0"/>
              <w:bottom w:val="single" w:color="000000" w:sz="8" w:space="0"/>
              <w:right w:val="single" w:color="000000" w:sz="8" w:space="0"/>
            </w:tcBorders>
            <w:noWrap w:val="0"/>
            <w:vAlign w:val="top"/>
          </w:tcPr>
          <w:p w14:paraId="633BBC6C">
            <w:pPr>
              <w:keepNext w:val="0"/>
              <w:keepLines w:val="0"/>
              <w:pageBreakBefore w:val="0"/>
              <w:kinsoku/>
              <w:wordWrap w:val="0"/>
              <w:overflowPunct/>
              <w:topLinePunct w:val="0"/>
              <w:bidi w:val="0"/>
              <w:spacing w:line="240" w:lineRule="auto"/>
              <w:jc w:val="center"/>
              <w:rPr>
                <w:rFonts w:hint="default" w:ascii="宋体" w:hAnsi="宋体" w:eastAsia="宋体" w:cs="宋体"/>
                <w:b/>
                <w:bCs/>
                <w:color w:val="0000FF"/>
                <w:sz w:val="22"/>
                <w:szCs w:val="22"/>
                <w:highlight w:val="none"/>
                <w:lang w:eastAsia="zh-CN"/>
              </w:rPr>
            </w:pPr>
            <w:r>
              <w:rPr>
                <w:rFonts w:hint="default" w:ascii="宋体" w:hAnsi="宋体" w:cs="宋体"/>
                <w:b/>
                <w:bCs/>
                <w:color w:val="0000FF"/>
                <w:sz w:val="22"/>
                <w:szCs w:val="22"/>
                <w:highlight w:val="none"/>
                <w:lang w:eastAsia="zh-CN"/>
              </w:rPr>
              <w:t>35</w:t>
            </w:r>
          </w:p>
        </w:tc>
      </w:tr>
      <w:tr w14:paraId="186656D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0" w:hRule="atLeast"/>
          <w:jc w:val="center"/>
        </w:trPr>
        <w:tc>
          <w:tcPr>
            <w:tcW w:w="374" w:type="pct"/>
            <w:vMerge w:val="continue"/>
            <w:tcBorders>
              <w:top w:val="single" w:color="000000" w:sz="8" w:space="0"/>
              <w:left w:val="single" w:color="000000" w:sz="8" w:space="0"/>
              <w:bottom w:val="single" w:color="000000" w:sz="8" w:space="0"/>
              <w:right w:val="single" w:color="000000" w:sz="8" w:space="0"/>
            </w:tcBorders>
            <w:shd w:val="clear" w:color="auto" w:fill="E6EFFA"/>
            <w:noWrap w:val="0"/>
            <w:vAlign w:val="center"/>
          </w:tcPr>
          <w:p w14:paraId="0792CD1E">
            <w:pPr>
              <w:keepNext w:val="0"/>
              <w:keepLines w:val="0"/>
              <w:pageBreakBefore w:val="0"/>
              <w:kinsoku/>
              <w:overflowPunct/>
              <w:topLinePunct w:val="0"/>
              <w:bidi w:val="0"/>
              <w:spacing w:line="240" w:lineRule="auto"/>
              <w:rPr>
                <w:rFonts w:hint="eastAsia" w:ascii="宋体" w:hAnsi="宋体" w:eastAsia="宋体" w:cs="宋体"/>
                <w:b/>
                <w:bCs/>
                <w:color w:val="0000FF"/>
                <w:sz w:val="22"/>
                <w:szCs w:val="22"/>
                <w:highlight w:val="none"/>
              </w:rPr>
            </w:pPr>
          </w:p>
        </w:tc>
        <w:tc>
          <w:tcPr>
            <w:tcW w:w="374" w:type="pct"/>
            <w:tcBorders>
              <w:top w:val="outset" w:color="000000" w:sz="6" w:space="0"/>
              <w:left w:val="outset" w:color="000000" w:sz="6" w:space="0"/>
              <w:bottom w:val="outset" w:color="000000" w:sz="6" w:space="0"/>
              <w:right w:val="outset" w:color="000000" w:sz="6" w:space="0"/>
            </w:tcBorders>
            <w:shd w:val="clear" w:color="auto" w:fill="E6EFFA"/>
            <w:noWrap w:val="0"/>
            <w:vAlign w:val="center"/>
          </w:tcPr>
          <w:p w14:paraId="0E803E21">
            <w:pPr>
              <w:keepNext w:val="0"/>
              <w:keepLines w:val="0"/>
              <w:pageBreakBefore w:val="0"/>
              <w:kinsoku/>
              <w:wordWrap w:val="0"/>
              <w:overflowPunct/>
              <w:topLinePunct w:val="0"/>
              <w:bidi w:val="0"/>
              <w:spacing w:line="240" w:lineRule="auto"/>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序号</w:t>
            </w:r>
          </w:p>
        </w:tc>
        <w:tc>
          <w:tcPr>
            <w:tcW w:w="1090" w:type="pct"/>
            <w:tcBorders>
              <w:top w:val="outset" w:color="000000" w:sz="6" w:space="0"/>
              <w:left w:val="outset" w:color="000000" w:sz="6" w:space="0"/>
              <w:bottom w:val="outset" w:color="000000" w:sz="6" w:space="0"/>
              <w:right w:val="outset" w:color="000000" w:sz="6" w:space="0"/>
            </w:tcBorders>
            <w:shd w:val="clear" w:color="auto" w:fill="E6EFFA"/>
            <w:noWrap w:val="0"/>
            <w:vAlign w:val="center"/>
          </w:tcPr>
          <w:p w14:paraId="708C4B14">
            <w:pPr>
              <w:keepNext w:val="0"/>
              <w:keepLines w:val="0"/>
              <w:pageBreakBefore w:val="0"/>
              <w:kinsoku/>
              <w:wordWrap w:val="0"/>
              <w:overflowPunct/>
              <w:topLinePunct w:val="0"/>
              <w:bidi w:val="0"/>
              <w:spacing w:line="240" w:lineRule="auto"/>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评分因素</w:t>
            </w:r>
          </w:p>
        </w:tc>
        <w:tc>
          <w:tcPr>
            <w:tcW w:w="477" w:type="pct"/>
            <w:tcBorders>
              <w:top w:val="outset" w:color="000000" w:sz="6" w:space="0"/>
              <w:left w:val="outset" w:color="000000" w:sz="6" w:space="0"/>
              <w:bottom w:val="outset" w:color="000000" w:sz="6" w:space="0"/>
              <w:right w:val="outset" w:color="000000" w:sz="6" w:space="0"/>
            </w:tcBorders>
            <w:shd w:val="clear" w:color="auto" w:fill="E6EFFA"/>
            <w:noWrap w:val="0"/>
            <w:vAlign w:val="center"/>
          </w:tcPr>
          <w:p w14:paraId="5BEAE020">
            <w:pPr>
              <w:keepNext w:val="0"/>
              <w:keepLines w:val="0"/>
              <w:pageBreakBefore w:val="0"/>
              <w:kinsoku/>
              <w:wordWrap w:val="0"/>
              <w:overflowPunct/>
              <w:topLinePunct w:val="0"/>
              <w:bidi w:val="0"/>
              <w:spacing w:line="240" w:lineRule="auto"/>
              <w:jc w:val="center"/>
              <w:rPr>
                <w:rFonts w:hint="default" w:ascii="宋体" w:hAnsi="宋体" w:eastAsia="宋体" w:cs="宋体"/>
                <w:sz w:val="22"/>
                <w:szCs w:val="22"/>
                <w:highlight w:val="none"/>
              </w:rPr>
            </w:pPr>
            <w:r>
              <w:rPr>
                <w:rFonts w:hint="default" w:ascii="宋体" w:hAnsi="宋体" w:cs="宋体"/>
                <w:sz w:val="22"/>
                <w:szCs w:val="22"/>
                <w:highlight w:val="none"/>
              </w:rPr>
              <w:t>分值</w:t>
            </w:r>
          </w:p>
        </w:tc>
        <w:tc>
          <w:tcPr>
            <w:tcW w:w="2683" w:type="pct"/>
            <w:tcBorders>
              <w:top w:val="outset" w:color="000000" w:sz="6" w:space="0"/>
              <w:left w:val="outset" w:color="000000" w:sz="6" w:space="0"/>
              <w:bottom w:val="outset" w:color="000000" w:sz="6" w:space="0"/>
              <w:right w:val="outset" w:color="000000" w:sz="6" w:space="0"/>
            </w:tcBorders>
            <w:shd w:val="clear" w:color="auto" w:fill="E6EFFA"/>
            <w:noWrap w:val="0"/>
            <w:vAlign w:val="center"/>
          </w:tcPr>
          <w:p w14:paraId="07BCBBEC">
            <w:pPr>
              <w:keepNext w:val="0"/>
              <w:keepLines w:val="0"/>
              <w:pageBreakBefore w:val="0"/>
              <w:kinsoku/>
              <w:wordWrap w:val="0"/>
              <w:overflowPunct/>
              <w:topLinePunct w:val="0"/>
              <w:bidi w:val="0"/>
              <w:spacing w:line="240" w:lineRule="auto"/>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评分准则</w:t>
            </w:r>
          </w:p>
        </w:tc>
      </w:tr>
      <w:tr w14:paraId="7E3C196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0" w:hRule="atLeast"/>
          <w:jc w:val="center"/>
        </w:trPr>
        <w:tc>
          <w:tcPr>
            <w:tcW w:w="374" w:type="pct"/>
            <w:vMerge w:val="continue"/>
            <w:tcBorders>
              <w:top w:val="single" w:color="000000" w:sz="8" w:space="0"/>
              <w:left w:val="single" w:color="000000" w:sz="8" w:space="0"/>
              <w:bottom w:val="single" w:color="000000" w:sz="8" w:space="0"/>
              <w:right w:val="single" w:color="000000" w:sz="8" w:space="0"/>
            </w:tcBorders>
            <w:noWrap w:val="0"/>
            <w:vAlign w:val="center"/>
          </w:tcPr>
          <w:p w14:paraId="56CD0C12">
            <w:pPr>
              <w:keepNext w:val="0"/>
              <w:keepLines w:val="0"/>
              <w:pageBreakBefore w:val="0"/>
              <w:kinsoku/>
              <w:overflowPunct/>
              <w:topLinePunct w:val="0"/>
              <w:bidi w:val="0"/>
              <w:spacing w:line="240" w:lineRule="auto"/>
              <w:rPr>
                <w:rFonts w:hint="eastAsia" w:ascii="宋体" w:hAnsi="宋体" w:eastAsia="宋体" w:cs="宋体"/>
                <w:b/>
                <w:bCs/>
                <w:color w:val="0000FF"/>
                <w:sz w:val="22"/>
                <w:szCs w:val="22"/>
                <w:highlight w:val="none"/>
              </w:rPr>
            </w:pPr>
          </w:p>
        </w:tc>
        <w:tc>
          <w:tcPr>
            <w:tcW w:w="374" w:type="pct"/>
            <w:tcBorders>
              <w:top w:val="single" w:color="000000" w:sz="8" w:space="0"/>
              <w:left w:val="single" w:color="000000" w:sz="8" w:space="0"/>
              <w:bottom w:val="single" w:color="000000" w:sz="8" w:space="0"/>
              <w:right w:val="single" w:color="000000" w:sz="8" w:space="0"/>
            </w:tcBorders>
            <w:noWrap w:val="0"/>
            <w:vAlign w:val="top"/>
          </w:tcPr>
          <w:p w14:paraId="292BB1BA">
            <w:pPr>
              <w:keepNext w:val="0"/>
              <w:keepLines w:val="0"/>
              <w:pageBreakBefore w:val="0"/>
              <w:kinsoku/>
              <w:wordWrap w:val="0"/>
              <w:overflowPunct/>
              <w:topLinePunct w:val="0"/>
              <w:bidi w:val="0"/>
              <w:snapToGrid/>
              <w:spacing w:line="24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w:t>
            </w:r>
          </w:p>
        </w:tc>
        <w:tc>
          <w:tcPr>
            <w:tcW w:w="1090" w:type="pct"/>
            <w:tcBorders>
              <w:top w:val="single" w:color="000000" w:sz="8" w:space="0"/>
              <w:left w:val="single" w:color="000000" w:sz="8" w:space="0"/>
              <w:bottom w:val="single" w:color="000000" w:sz="8" w:space="0"/>
              <w:right w:val="single" w:color="000000" w:sz="8" w:space="0"/>
            </w:tcBorders>
            <w:noWrap w:val="0"/>
            <w:vAlign w:val="top"/>
          </w:tcPr>
          <w:p w14:paraId="578A7521">
            <w:pPr>
              <w:keepNext w:val="0"/>
              <w:keepLines w:val="0"/>
              <w:pageBreakBefore w:val="0"/>
              <w:kinsoku/>
              <w:wordWrap w:val="0"/>
              <w:overflowPunct/>
              <w:topLinePunct w:val="0"/>
              <w:bidi w:val="0"/>
              <w:snapToGrid/>
              <w:spacing w:line="240" w:lineRule="auto"/>
              <w:jc w:val="center"/>
              <w:rPr>
                <w:rFonts w:hint="eastAsia" w:ascii="宋体" w:hAnsi="宋体" w:eastAsia="宋体" w:cs="宋体"/>
                <w:color w:val="auto"/>
                <w:sz w:val="22"/>
                <w:szCs w:val="22"/>
                <w:highlight w:val="none"/>
                <w:lang w:val="en-US" w:eastAsia="zh-CN"/>
              </w:rPr>
            </w:pPr>
            <w:r>
              <w:rPr>
                <w:rFonts w:hint="eastAsia" w:ascii="宋体" w:hAnsi="宋体" w:eastAsia="宋体" w:cs="宋体"/>
                <w:sz w:val="22"/>
                <w:szCs w:val="22"/>
                <w:highlight w:val="none"/>
              </w:rPr>
              <w:t>认证</w:t>
            </w:r>
            <w:r>
              <w:rPr>
                <w:rFonts w:hint="eastAsia" w:ascii="宋体" w:hAnsi="宋体" w:eastAsia="宋体" w:cs="宋体"/>
                <w:sz w:val="22"/>
                <w:szCs w:val="22"/>
                <w:highlight w:val="none"/>
                <w:lang w:val="en-US" w:eastAsia="zh-CN"/>
              </w:rPr>
              <w:t>情况</w:t>
            </w:r>
          </w:p>
        </w:tc>
        <w:tc>
          <w:tcPr>
            <w:tcW w:w="477" w:type="pct"/>
            <w:tcBorders>
              <w:top w:val="single" w:color="000000" w:sz="8" w:space="0"/>
              <w:left w:val="single" w:color="000000" w:sz="8" w:space="0"/>
              <w:bottom w:val="single" w:color="000000" w:sz="8" w:space="0"/>
              <w:right w:val="single" w:color="000000" w:sz="8" w:space="0"/>
            </w:tcBorders>
            <w:noWrap w:val="0"/>
            <w:vAlign w:val="top"/>
          </w:tcPr>
          <w:p w14:paraId="32DA0CCB">
            <w:pPr>
              <w:keepNext w:val="0"/>
              <w:keepLines w:val="0"/>
              <w:pageBreakBefore w:val="0"/>
              <w:kinsoku/>
              <w:wordWrap w:val="0"/>
              <w:overflowPunct/>
              <w:topLinePunct w:val="0"/>
              <w:bidi w:val="0"/>
              <w:snapToGrid/>
              <w:spacing w:line="240" w:lineRule="auto"/>
              <w:jc w:val="center"/>
              <w:rPr>
                <w:rFonts w:hint="default" w:ascii="宋体" w:hAnsi="宋体" w:eastAsia="宋体" w:cs="宋体"/>
                <w:color w:val="auto"/>
                <w:sz w:val="22"/>
                <w:szCs w:val="22"/>
                <w:highlight w:val="none"/>
              </w:rPr>
            </w:pPr>
            <w:r>
              <w:rPr>
                <w:rFonts w:hint="default" w:ascii="宋体" w:hAnsi="宋体" w:cs="宋体"/>
                <w:sz w:val="22"/>
                <w:szCs w:val="22"/>
                <w:highlight w:val="none"/>
                <w:lang w:eastAsia="zh-CN"/>
              </w:rPr>
              <w:t>8</w:t>
            </w:r>
          </w:p>
        </w:tc>
        <w:tc>
          <w:tcPr>
            <w:tcW w:w="2683" w:type="pct"/>
            <w:tcBorders>
              <w:top w:val="single" w:color="000000" w:sz="8" w:space="0"/>
              <w:left w:val="single" w:color="000000" w:sz="8" w:space="0"/>
              <w:bottom w:val="single" w:color="000000" w:sz="8" w:space="0"/>
              <w:right w:val="single" w:color="000000" w:sz="8" w:space="0"/>
            </w:tcBorders>
            <w:noWrap w:val="0"/>
            <w:vAlign w:val="center"/>
          </w:tcPr>
          <w:p w14:paraId="64607BC4">
            <w:pPr>
              <w:jc w:val="both"/>
              <w:rPr>
                <w:rFonts w:hint="eastAsia" w:ascii="宋体" w:hAnsi="宋体" w:eastAsia="宋体"/>
                <w:b/>
                <w:bCs/>
                <w:szCs w:val="21"/>
                <w:highlight w:val="none"/>
              </w:rPr>
            </w:pPr>
            <w:r>
              <w:rPr>
                <w:rFonts w:hint="eastAsia" w:ascii="宋体" w:hAnsi="宋体" w:eastAsia="宋体"/>
                <w:b/>
                <w:bCs/>
                <w:szCs w:val="21"/>
                <w:highlight w:val="none"/>
              </w:rPr>
              <w:t>（一）评审内容：</w:t>
            </w:r>
          </w:p>
          <w:p w14:paraId="6E5BB020">
            <w:pPr>
              <w:jc w:val="both"/>
              <w:rPr>
                <w:rFonts w:hint="eastAsia" w:ascii="宋体" w:hAnsi="宋体" w:eastAsia="宋体"/>
                <w:szCs w:val="21"/>
                <w:highlight w:val="none"/>
              </w:rPr>
            </w:pPr>
            <w:r>
              <w:rPr>
                <w:rFonts w:hint="eastAsia" w:ascii="宋体" w:hAnsi="宋体" w:eastAsia="宋体"/>
                <w:szCs w:val="21"/>
                <w:highlight w:val="none"/>
              </w:rPr>
              <w:t>投标人具有以下认证：</w:t>
            </w:r>
          </w:p>
          <w:p w14:paraId="3FB4A112">
            <w:pPr>
              <w:jc w:val="both"/>
              <w:rPr>
                <w:rFonts w:hint="eastAsia" w:ascii="宋体" w:hAnsi="宋体" w:eastAsia="宋体"/>
                <w:szCs w:val="21"/>
                <w:highlight w:val="none"/>
              </w:rPr>
            </w:pPr>
            <w:r>
              <w:rPr>
                <w:rFonts w:hint="eastAsia" w:ascii="宋体" w:hAnsi="宋体" w:eastAsia="宋体"/>
                <w:szCs w:val="21"/>
                <w:highlight w:val="none"/>
              </w:rPr>
              <w:t>（1）质量管理体系认证；</w:t>
            </w:r>
          </w:p>
          <w:p w14:paraId="6F15FB77">
            <w:pPr>
              <w:jc w:val="both"/>
              <w:rPr>
                <w:rFonts w:hint="eastAsia" w:ascii="宋体" w:hAnsi="宋体" w:eastAsia="宋体"/>
                <w:szCs w:val="21"/>
                <w:highlight w:val="none"/>
              </w:rPr>
            </w:pPr>
            <w:r>
              <w:rPr>
                <w:rFonts w:hint="eastAsia" w:ascii="宋体" w:hAnsi="宋体" w:eastAsia="宋体"/>
                <w:szCs w:val="21"/>
                <w:highlight w:val="none"/>
              </w:rPr>
              <w:t>（2）环境管理体系认证；</w:t>
            </w:r>
          </w:p>
          <w:p w14:paraId="48AE8913">
            <w:pPr>
              <w:jc w:val="both"/>
              <w:rPr>
                <w:rFonts w:hint="eastAsia" w:ascii="宋体" w:hAnsi="宋体" w:eastAsia="宋体"/>
                <w:szCs w:val="21"/>
                <w:highlight w:val="none"/>
              </w:rPr>
            </w:pPr>
            <w:r>
              <w:rPr>
                <w:rFonts w:hint="eastAsia" w:ascii="宋体" w:hAnsi="宋体" w:eastAsia="宋体"/>
                <w:szCs w:val="21"/>
                <w:highlight w:val="none"/>
              </w:rPr>
              <w:t>（3）职业健康安全管理体系认证；</w:t>
            </w:r>
          </w:p>
          <w:p w14:paraId="087FC3BF">
            <w:pPr>
              <w:jc w:val="both"/>
              <w:rPr>
                <w:rFonts w:hint="eastAsia" w:ascii="宋体" w:hAnsi="宋体" w:eastAsia="宋体"/>
                <w:szCs w:val="21"/>
                <w:highlight w:val="none"/>
              </w:rPr>
            </w:pPr>
            <w:r>
              <w:rPr>
                <w:rFonts w:hint="eastAsia" w:ascii="宋体" w:hAnsi="宋体" w:eastAsia="宋体"/>
                <w:szCs w:val="21"/>
                <w:highlight w:val="none"/>
              </w:rPr>
              <w:t>（4）食品安全管理体系认证；</w:t>
            </w:r>
          </w:p>
          <w:p w14:paraId="2CFD5A05">
            <w:pPr>
              <w:jc w:val="both"/>
              <w:rPr>
                <w:rFonts w:hint="eastAsia" w:ascii="宋体" w:hAnsi="宋体" w:eastAsia="宋体"/>
                <w:szCs w:val="21"/>
                <w:highlight w:val="none"/>
              </w:rPr>
            </w:pPr>
            <w:r>
              <w:rPr>
                <w:rFonts w:hint="eastAsia" w:ascii="宋体" w:hAnsi="宋体" w:eastAsia="宋体"/>
                <w:szCs w:val="21"/>
                <w:highlight w:val="none"/>
              </w:rPr>
              <w:t>（5）危害分析与关键控制点体系认证；</w:t>
            </w:r>
          </w:p>
          <w:p w14:paraId="0895DCF5">
            <w:pPr>
              <w:jc w:val="both"/>
              <w:rPr>
                <w:rFonts w:hint="eastAsia" w:ascii="宋体" w:hAnsi="宋体" w:eastAsia="宋体"/>
                <w:szCs w:val="21"/>
                <w:highlight w:val="none"/>
              </w:rPr>
            </w:pPr>
            <w:r>
              <w:rPr>
                <w:rFonts w:hint="eastAsia" w:ascii="宋体" w:hAnsi="宋体" w:eastAsia="宋体"/>
                <w:szCs w:val="21"/>
                <w:highlight w:val="none"/>
              </w:rPr>
              <w:t>（6）餐饮企业现场管理评价认证；</w:t>
            </w:r>
          </w:p>
          <w:p w14:paraId="285D556D">
            <w:pPr>
              <w:jc w:val="both"/>
              <w:rPr>
                <w:rFonts w:hint="eastAsia" w:ascii="宋体" w:hAnsi="宋体" w:eastAsia="宋体"/>
                <w:szCs w:val="21"/>
                <w:highlight w:val="none"/>
              </w:rPr>
            </w:pPr>
            <w:r>
              <w:rPr>
                <w:rFonts w:hint="eastAsia" w:ascii="宋体" w:hAnsi="宋体" w:eastAsia="宋体"/>
                <w:szCs w:val="21"/>
                <w:highlight w:val="none"/>
              </w:rPr>
              <w:t>（7）顾客满意测评认证；</w:t>
            </w:r>
          </w:p>
          <w:p w14:paraId="7AC53A76">
            <w:pPr>
              <w:jc w:val="both"/>
              <w:rPr>
                <w:rFonts w:hint="eastAsia" w:ascii="宋体" w:hAnsi="宋体" w:eastAsia="宋体"/>
                <w:szCs w:val="21"/>
                <w:highlight w:val="none"/>
              </w:rPr>
            </w:pPr>
            <w:r>
              <w:rPr>
                <w:rFonts w:hint="eastAsia" w:ascii="宋体" w:hAnsi="宋体" w:eastAsia="宋体"/>
                <w:szCs w:val="21"/>
                <w:highlight w:val="none"/>
              </w:rPr>
              <w:t>（8）餐饮管理服务认证；</w:t>
            </w:r>
          </w:p>
          <w:p w14:paraId="36D30EEB">
            <w:pPr>
              <w:jc w:val="both"/>
              <w:rPr>
                <w:rFonts w:hint="eastAsia" w:ascii="宋体" w:hAnsi="宋体" w:eastAsia="宋体"/>
                <w:szCs w:val="21"/>
                <w:highlight w:val="none"/>
              </w:rPr>
            </w:pPr>
            <w:r>
              <w:rPr>
                <w:rFonts w:hint="eastAsia" w:ascii="宋体" w:hAnsi="宋体" w:eastAsia="宋体"/>
                <w:szCs w:val="21"/>
                <w:highlight w:val="none"/>
              </w:rPr>
              <w:t>（9）公共机构食堂运营服务评价认证；</w:t>
            </w:r>
          </w:p>
          <w:p w14:paraId="7A65C296">
            <w:pPr>
              <w:jc w:val="both"/>
              <w:rPr>
                <w:rFonts w:hint="eastAsia" w:ascii="宋体" w:hAnsi="宋体" w:eastAsia="宋体"/>
                <w:szCs w:val="21"/>
                <w:highlight w:val="none"/>
                <w:lang w:eastAsia="zh-CN"/>
              </w:rPr>
            </w:pPr>
            <w:r>
              <w:rPr>
                <w:rFonts w:hint="eastAsia" w:ascii="宋体" w:hAnsi="宋体" w:eastAsia="宋体"/>
                <w:szCs w:val="21"/>
                <w:highlight w:val="none"/>
              </w:rPr>
              <w:t>（10）设备维护保养服务认证</w:t>
            </w:r>
            <w:r>
              <w:rPr>
                <w:rFonts w:hint="eastAsia" w:ascii="宋体" w:hAnsi="宋体"/>
                <w:szCs w:val="21"/>
                <w:highlight w:val="none"/>
                <w:lang w:val="en-US" w:eastAsia="zh-CN"/>
              </w:rPr>
              <w:t>。</w:t>
            </w:r>
          </w:p>
          <w:p w14:paraId="134F770F">
            <w:pPr>
              <w:jc w:val="both"/>
              <w:rPr>
                <w:rFonts w:hint="eastAsia" w:ascii="宋体" w:hAnsi="宋体" w:eastAsia="宋体"/>
                <w:szCs w:val="21"/>
                <w:highlight w:val="none"/>
              </w:rPr>
            </w:pPr>
            <w:r>
              <w:rPr>
                <w:rFonts w:hint="eastAsia" w:ascii="宋体" w:hAnsi="宋体" w:eastAsia="宋体"/>
                <w:szCs w:val="21"/>
                <w:highlight w:val="none"/>
              </w:rPr>
              <w:t>其中（7）至（1</w:t>
            </w:r>
            <w:r>
              <w:rPr>
                <w:rFonts w:hint="eastAsia" w:ascii="宋体" w:hAnsi="宋体" w:eastAsia="宋体"/>
                <w:szCs w:val="21"/>
                <w:highlight w:val="none"/>
                <w:lang w:val="en-US" w:eastAsia="zh-CN"/>
              </w:rPr>
              <w:t>0</w:t>
            </w:r>
            <w:r>
              <w:rPr>
                <w:rFonts w:hint="eastAsia" w:ascii="宋体" w:hAnsi="宋体" w:eastAsia="宋体"/>
                <w:szCs w:val="21"/>
                <w:highlight w:val="none"/>
              </w:rPr>
              <w:t>）认证范围包含：餐饮管理服务</w:t>
            </w:r>
            <w:r>
              <w:rPr>
                <w:rFonts w:hint="eastAsia" w:ascii="宋体" w:hAnsi="宋体" w:eastAsia="宋体"/>
                <w:szCs w:val="21"/>
                <w:highlight w:val="none"/>
                <w:lang w:eastAsia="zh-CN"/>
              </w:rPr>
              <w:t>；提供以上</w:t>
            </w:r>
            <w:r>
              <w:rPr>
                <w:rFonts w:hint="eastAsia" w:ascii="宋体" w:hAnsi="宋体" w:eastAsia="宋体"/>
                <w:szCs w:val="21"/>
                <w:highlight w:val="none"/>
                <w:lang w:val="en-US" w:eastAsia="zh-CN"/>
              </w:rPr>
              <w:t>10项</w:t>
            </w:r>
            <w:r>
              <w:rPr>
                <w:rFonts w:hint="eastAsia" w:ascii="宋体" w:hAnsi="宋体" w:eastAsia="宋体"/>
                <w:szCs w:val="21"/>
                <w:highlight w:val="none"/>
                <w:lang w:eastAsia="zh-CN"/>
              </w:rPr>
              <w:t>认证得</w:t>
            </w:r>
            <w:r>
              <w:rPr>
                <w:rFonts w:hint="default" w:ascii="宋体" w:hAnsi="宋体" w:eastAsia="宋体"/>
                <w:szCs w:val="21"/>
                <w:highlight w:val="none"/>
                <w:lang w:eastAsia="zh-CN"/>
              </w:rPr>
              <w:t>8</w:t>
            </w:r>
            <w:r>
              <w:rPr>
                <w:rFonts w:hint="eastAsia" w:ascii="宋体" w:hAnsi="宋体" w:eastAsia="宋体"/>
                <w:szCs w:val="21"/>
                <w:highlight w:val="none"/>
                <w:lang w:val="en-US" w:eastAsia="zh-CN"/>
              </w:rPr>
              <w:t>分，每少一项扣1分，扣完为止</w:t>
            </w:r>
            <w:r>
              <w:rPr>
                <w:rFonts w:hint="eastAsia" w:ascii="宋体" w:hAnsi="宋体" w:eastAsia="宋体"/>
                <w:szCs w:val="21"/>
                <w:highlight w:val="none"/>
              </w:rPr>
              <w:t>。</w:t>
            </w:r>
          </w:p>
          <w:p w14:paraId="054D5596">
            <w:pPr>
              <w:jc w:val="both"/>
              <w:rPr>
                <w:rFonts w:hint="eastAsia" w:ascii="宋体" w:hAnsi="宋体" w:eastAsia="宋体"/>
                <w:b/>
                <w:bCs/>
                <w:szCs w:val="21"/>
                <w:highlight w:val="none"/>
              </w:rPr>
            </w:pPr>
            <w:r>
              <w:rPr>
                <w:rFonts w:hint="eastAsia" w:ascii="宋体" w:hAnsi="宋体" w:eastAsia="宋体"/>
                <w:b/>
                <w:bCs/>
                <w:szCs w:val="21"/>
                <w:highlight w:val="none"/>
                <w:lang w:val="en-US" w:eastAsia="zh-CN"/>
              </w:rPr>
              <w:t>（二）</w:t>
            </w:r>
            <w:r>
              <w:rPr>
                <w:rFonts w:hint="eastAsia" w:ascii="宋体" w:hAnsi="宋体" w:eastAsia="宋体"/>
                <w:b/>
                <w:bCs/>
                <w:szCs w:val="21"/>
                <w:highlight w:val="none"/>
              </w:rPr>
              <w:t>评审依据：</w:t>
            </w:r>
          </w:p>
          <w:p w14:paraId="317E0F05">
            <w:pPr>
              <w:jc w:val="both"/>
              <w:rPr>
                <w:rFonts w:hint="eastAsia" w:ascii="宋体" w:hAnsi="宋体" w:eastAsia="宋体"/>
                <w:szCs w:val="21"/>
                <w:highlight w:val="none"/>
              </w:rPr>
            </w:pPr>
            <w:r>
              <w:rPr>
                <w:rFonts w:hint="eastAsia" w:ascii="宋体" w:hAnsi="宋体" w:eastAsia="宋体"/>
                <w:szCs w:val="21"/>
                <w:highlight w:val="none"/>
              </w:rPr>
              <w:t>投标人提供上述有效期内的认证</w:t>
            </w:r>
            <w:r>
              <w:rPr>
                <w:rFonts w:hint="eastAsia" w:ascii="宋体" w:hAnsi="宋体"/>
                <w:szCs w:val="21"/>
                <w:highlight w:val="none"/>
                <w:lang w:eastAsia="zh-CN"/>
              </w:rPr>
              <w:t>证</w:t>
            </w:r>
            <w:r>
              <w:rPr>
                <w:rFonts w:hint="eastAsia" w:ascii="宋体" w:hAnsi="宋体" w:eastAsia="宋体"/>
                <w:szCs w:val="21"/>
                <w:highlight w:val="none"/>
              </w:rPr>
              <w:t>书扫描件以及全国认证认可信息公共服务平台（认e云）（http://cx.cnca.cn/）的认证信息截图（体现网站信息），未按要求提供或提供不清晰导致专家无法判断的不得分，原件备查。</w:t>
            </w:r>
          </w:p>
        </w:tc>
      </w:tr>
      <w:tr w14:paraId="79A2204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0" w:hRule="atLeast"/>
          <w:jc w:val="center"/>
        </w:trPr>
        <w:tc>
          <w:tcPr>
            <w:tcW w:w="374" w:type="pct"/>
            <w:vMerge w:val="continue"/>
            <w:tcBorders>
              <w:top w:val="single" w:color="000000" w:sz="8" w:space="0"/>
              <w:left w:val="single" w:color="000000" w:sz="8" w:space="0"/>
              <w:bottom w:val="single" w:color="000000" w:sz="8" w:space="0"/>
              <w:right w:val="single" w:color="000000" w:sz="8" w:space="0"/>
            </w:tcBorders>
            <w:noWrap w:val="0"/>
            <w:vAlign w:val="center"/>
          </w:tcPr>
          <w:p w14:paraId="0EBC8C6D">
            <w:pPr>
              <w:keepNext w:val="0"/>
              <w:keepLines w:val="0"/>
              <w:pageBreakBefore w:val="0"/>
              <w:kinsoku/>
              <w:overflowPunct/>
              <w:topLinePunct w:val="0"/>
              <w:bidi w:val="0"/>
              <w:spacing w:line="240" w:lineRule="auto"/>
              <w:rPr>
                <w:rFonts w:hint="eastAsia" w:ascii="宋体" w:hAnsi="宋体" w:eastAsia="宋体" w:cs="宋体"/>
                <w:b/>
                <w:bCs/>
                <w:color w:val="0000FF"/>
                <w:sz w:val="22"/>
                <w:szCs w:val="22"/>
                <w:highlight w:val="none"/>
              </w:rPr>
            </w:pPr>
          </w:p>
        </w:tc>
        <w:tc>
          <w:tcPr>
            <w:tcW w:w="374" w:type="pct"/>
            <w:tcBorders>
              <w:top w:val="single" w:color="000000" w:sz="8" w:space="0"/>
              <w:left w:val="single" w:color="000000" w:sz="8" w:space="0"/>
              <w:bottom w:val="single" w:color="000000" w:sz="8" w:space="0"/>
              <w:right w:val="single" w:color="000000" w:sz="8" w:space="0"/>
            </w:tcBorders>
            <w:noWrap w:val="0"/>
            <w:vAlign w:val="top"/>
          </w:tcPr>
          <w:p w14:paraId="16687A98">
            <w:pPr>
              <w:keepNext w:val="0"/>
              <w:keepLines w:val="0"/>
              <w:pageBreakBefore w:val="0"/>
              <w:kinsoku/>
              <w:wordWrap w:val="0"/>
              <w:overflowPunct/>
              <w:topLinePunct w:val="0"/>
              <w:bidi w:val="0"/>
              <w:snapToGrid/>
              <w:spacing w:line="24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2</w:t>
            </w:r>
          </w:p>
        </w:tc>
        <w:tc>
          <w:tcPr>
            <w:tcW w:w="1090" w:type="pct"/>
            <w:tcBorders>
              <w:top w:val="single" w:color="000000" w:sz="8" w:space="0"/>
              <w:left w:val="single" w:color="000000" w:sz="8" w:space="0"/>
              <w:bottom w:val="single" w:color="000000" w:sz="8" w:space="0"/>
              <w:right w:val="single" w:color="000000" w:sz="8" w:space="0"/>
            </w:tcBorders>
            <w:noWrap w:val="0"/>
            <w:vAlign w:val="top"/>
          </w:tcPr>
          <w:p w14:paraId="56C75166">
            <w:pPr>
              <w:keepNext w:val="0"/>
              <w:keepLines w:val="0"/>
              <w:pageBreakBefore w:val="0"/>
              <w:kinsoku/>
              <w:wordWrap w:val="0"/>
              <w:overflowPunct/>
              <w:topLinePunct w:val="0"/>
              <w:bidi w:val="0"/>
              <w:snapToGrid/>
              <w:spacing w:line="240" w:lineRule="auto"/>
              <w:jc w:val="center"/>
              <w:rPr>
                <w:rFonts w:hint="eastAsia" w:ascii="宋体" w:hAnsi="宋体" w:eastAsia="宋体" w:cs="宋体"/>
                <w:color w:val="auto"/>
                <w:sz w:val="22"/>
                <w:szCs w:val="22"/>
                <w:highlight w:val="none"/>
                <w:lang w:val="en-US" w:eastAsia="zh-CN"/>
              </w:rPr>
            </w:pPr>
            <w:r>
              <w:rPr>
                <w:rFonts w:hint="eastAsia" w:ascii="宋体" w:hAnsi="宋体" w:eastAsia="宋体" w:cs="宋体"/>
                <w:sz w:val="22"/>
                <w:szCs w:val="22"/>
                <w:highlight w:val="none"/>
              </w:rPr>
              <w:t>同类业绩</w:t>
            </w:r>
          </w:p>
        </w:tc>
        <w:tc>
          <w:tcPr>
            <w:tcW w:w="477" w:type="pct"/>
            <w:tcBorders>
              <w:top w:val="single" w:color="000000" w:sz="8" w:space="0"/>
              <w:left w:val="single" w:color="000000" w:sz="8" w:space="0"/>
              <w:bottom w:val="single" w:color="000000" w:sz="8" w:space="0"/>
              <w:right w:val="single" w:color="000000" w:sz="8" w:space="0"/>
            </w:tcBorders>
            <w:noWrap w:val="0"/>
            <w:vAlign w:val="top"/>
          </w:tcPr>
          <w:p w14:paraId="047D89C1">
            <w:pPr>
              <w:keepNext w:val="0"/>
              <w:keepLines w:val="0"/>
              <w:pageBreakBefore w:val="0"/>
              <w:kinsoku/>
              <w:wordWrap w:val="0"/>
              <w:overflowPunct/>
              <w:topLinePunct w:val="0"/>
              <w:bidi w:val="0"/>
              <w:snapToGrid/>
              <w:spacing w:line="240" w:lineRule="auto"/>
              <w:jc w:val="center"/>
              <w:rPr>
                <w:rFonts w:hint="default" w:ascii="宋体" w:hAnsi="宋体" w:eastAsia="宋体" w:cs="宋体"/>
                <w:color w:val="auto"/>
                <w:sz w:val="22"/>
                <w:szCs w:val="22"/>
                <w:highlight w:val="none"/>
              </w:rPr>
            </w:pPr>
            <w:r>
              <w:rPr>
                <w:rFonts w:hint="default" w:ascii="宋体" w:hAnsi="宋体" w:cs="宋体"/>
                <w:sz w:val="22"/>
                <w:szCs w:val="22"/>
                <w:highlight w:val="none"/>
                <w:lang w:eastAsia="zh-CN"/>
              </w:rPr>
              <w:t>12</w:t>
            </w:r>
          </w:p>
        </w:tc>
        <w:tc>
          <w:tcPr>
            <w:tcW w:w="2683" w:type="pct"/>
            <w:tcBorders>
              <w:top w:val="single" w:color="000000" w:sz="8" w:space="0"/>
              <w:left w:val="single" w:color="000000" w:sz="8" w:space="0"/>
              <w:bottom w:val="single" w:color="000000" w:sz="8" w:space="0"/>
              <w:right w:val="single" w:color="000000" w:sz="8" w:space="0"/>
            </w:tcBorders>
            <w:noWrap w:val="0"/>
            <w:vAlign w:val="center"/>
          </w:tcPr>
          <w:p w14:paraId="1BE78865">
            <w:pPr>
              <w:jc w:val="both"/>
              <w:rPr>
                <w:rFonts w:hint="eastAsia" w:ascii="宋体" w:hAnsi="宋体" w:eastAsia="宋体"/>
                <w:b/>
                <w:bCs/>
                <w:szCs w:val="21"/>
                <w:highlight w:val="none"/>
              </w:rPr>
            </w:pPr>
            <w:r>
              <w:rPr>
                <w:rFonts w:hint="eastAsia" w:ascii="宋体" w:hAnsi="宋体" w:eastAsia="宋体"/>
                <w:b/>
                <w:bCs/>
                <w:szCs w:val="21"/>
                <w:highlight w:val="none"/>
              </w:rPr>
              <w:t>（一）评审内容：</w:t>
            </w:r>
          </w:p>
          <w:p w14:paraId="3574DEA5">
            <w:pPr>
              <w:jc w:val="both"/>
              <w:rPr>
                <w:rFonts w:hint="eastAsia" w:ascii="宋体" w:hAnsi="宋体" w:eastAsia="宋体" w:cs="Times New Roman"/>
                <w:szCs w:val="21"/>
                <w:highlight w:val="none"/>
              </w:rPr>
            </w:pPr>
            <w:r>
              <w:rPr>
                <w:rFonts w:hint="eastAsia" w:ascii="宋体" w:hAnsi="宋体" w:eastAsia="宋体" w:cs="Times New Roman"/>
                <w:szCs w:val="21"/>
                <w:highlight w:val="none"/>
              </w:rPr>
              <w:t>自202</w:t>
            </w:r>
            <w:r>
              <w:rPr>
                <w:rFonts w:hint="eastAsia" w:ascii="宋体" w:hAnsi="宋体" w:eastAsia="宋体" w:cs="Times New Roman"/>
                <w:szCs w:val="21"/>
                <w:highlight w:val="none"/>
                <w:lang w:val="en-US" w:eastAsia="zh-CN"/>
              </w:rPr>
              <w:t>2</w:t>
            </w:r>
            <w:r>
              <w:rPr>
                <w:rFonts w:hint="eastAsia" w:ascii="宋体" w:hAnsi="宋体" w:eastAsia="宋体" w:cs="Times New Roman"/>
                <w:szCs w:val="21"/>
                <w:highlight w:val="none"/>
              </w:rPr>
              <w:t>年1月1日至</w:t>
            </w:r>
            <w:r>
              <w:rPr>
                <w:rFonts w:hint="default" w:ascii="宋体" w:hAnsi="宋体" w:cs="Times New Roman"/>
                <w:szCs w:val="21"/>
                <w:highlight w:val="none"/>
              </w:rPr>
              <w:t>本项目</w:t>
            </w:r>
            <w:r>
              <w:rPr>
                <w:rFonts w:hint="default" w:ascii="宋体" w:hAnsi="宋体" w:eastAsia="宋体" w:cs="Times New Roman"/>
                <w:szCs w:val="21"/>
                <w:highlight w:val="none"/>
                <w:lang w:val="en-US"/>
              </w:rPr>
              <w:t>招标公告发布</w:t>
            </w:r>
            <w:r>
              <w:rPr>
                <w:rFonts w:hint="eastAsia" w:ascii="宋体" w:hAnsi="宋体" w:eastAsia="宋体" w:cs="Times New Roman"/>
                <w:szCs w:val="21"/>
                <w:highlight w:val="none"/>
              </w:rPr>
              <w:t>之日（以合同签订时间为准），投标人承接的</w:t>
            </w:r>
            <w:r>
              <w:rPr>
                <w:rFonts w:hint="default" w:ascii="宋体" w:hAnsi="宋体" w:cs="Times New Roman"/>
                <w:szCs w:val="21"/>
                <w:highlight w:val="none"/>
              </w:rPr>
              <w:t>政府</w:t>
            </w:r>
            <w:r>
              <w:rPr>
                <w:rFonts w:hint="eastAsia" w:ascii="宋体" w:hAnsi="宋体" w:eastAsia="宋体" w:cs="Times New Roman"/>
                <w:szCs w:val="21"/>
                <w:highlight w:val="none"/>
              </w:rPr>
              <w:t>行政机关或事业单位食堂管理服务</w:t>
            </w:r>
            <w:r>
              <w:rPr>
                <w:rFonts w:hint="eastAsia" w:ascii="宋体" w:hAnsi="宋体" w:eastAsia="宋体" w:cs="Times New Roman"/>
                <w:szCs w:val="21"/>
                <w:highlight w:val="none"/>
                <w:lang w:eastAsia="zh-CN"/>
              </w:rPr>
              <w:t>项目</w:t>
            </w:r>
            <w:r>
              <w:rPr>
                <w:rFonts w:hint="eastAsia" w:ascii="宋体" w:hAnsi="宋体" w:eastAsia="宋体" w:cs="Times New Roman"/>
                <w:szCs w:val="21"/>
                <w:highlight w:val="none"/>
              </w:rPr>
              <w:t>，</w:t>
            </w:r>
            <w:r>
              <w:rPr>
                <w:rFonts w:hint="eastAsia" w:ascii="宋体" w:hAnsi="宋体" w:eastAsia="宋体" w:cs="Times New Roman"/>
                <w:szCs w:val="21"/>
                <w:highlight w:val="none"/>
                <w:lang w:eastAsia="zh-CN"/>
              </w:rPr>
              <w:t>提供</w:t>
            </w:r>
            <w:r>
              <w:rPr>
                <w:rFonts w:hint="eastAsia" w:ascii="宋体" w:hAnsi="宋体" w:eastAsia="宋体" w:cs="Times New Roman"/>
                <w:szCs w:val="21"/>
                <w:highlight w:val="none"/>
                <w:lang w:val="en-US" w:eastAsia="zh-CN"/>
              </w:rPr>
              <w:t>10项得</w:t>
            </w:r>
            <w:r>
              <w:rPr>
                <w:rFonts w:hint="default" w:ascii="宋体" w:hAnsi="宋体" w:eastAsia="宋体" w:cs="Times New Roman"/>
                <w:szCs w:val="21"/>
                <w:highlight w:val="none"/>
                <w:lang w:eastAsia="zh-CN"/>
              </w:rPr>
              <w:t>12</w:t>
            </w:r>
            <w:r>
              <w:rPr>
                <w:rFonts w:hint="eastAsia" w:ascii="宋体" w:hAnsi="宋体" w:eastAsia="宋体" w:cs="Times New Roman"/>
                <w:szCs w:val="21"/>
                <w:highlight w:val="none"/>
                <w:lang w:val="en-US" w:eastAsia="zh-CN"/>
              </w:rPr>
              <w:t>分，</w:t>
            </w:r>
            <w:r>
              <w:rPr>
                <w:rFonts w:hint="eastAsia" w:ascii="宋体" w:hAnsi="宋体" w:eastAsia="宋体" w:cs="Times New Roman"/>
                <w:szCs w:val="21"/>
                <w:highlight w:val="none"/>
                <w:lang w:eastAsia="zh-CN"/>
              </w:rPr>
              <w:t>每缺少一项扣</w:t>
            </w:r>
            <w:r>
              <w:rPr>
                <w:rFonts w:hint="eastAsia" w:ascii="宋体" w:hAnsi="宋体" w:eastAsia="宋体" w:cs="Times New Roman"/>
                <w:szCs w:val="21"/>
                <w:highlight w:val="none"/>
                <w:lang w:val="en-US" w:eastAsia="zh-CN"/>
              </w:rPr>
              <w:t>1</w:t>
            </w:r>
            <w:r>
              <w:rPr>
                <w:rFonts w:hint="default" w:ascii="宋体" w:hAnsi="宋体" w:cs="Times New Roman"/>
                <w:szCs w:val="21"/>
                <w:highlight w:val="none"/>
                <w:lang w:eastAsia="zh-CN"/>
              </w:rPr>
              <w:t>.5</w:t>
            </w:r>
            <w:r>
              <w:rPr>
                <w:rFonts w:hint="eastAsia" w:ascii="宋体" w:hAnsi="宋体" w:eastAsia="宋体" w:cs="Times New Roman"/>
                <w:szCs w:val="21"/>
                <w:highlight w:val="none"/>
                <w:lang w:val="en-US" w:eastAsia="zh-CN"/>
              </w:rPr>
              <w:t>分，扣完为止</w:t>
            </w:r>
            <w:r>
              <w:rPr>
                <w:rFonts w:hint="eastAsia" w:ascii="宋体" w:hAnsi="宋体" w:eastAsia="宋体" w:cs="Times New Roman"/>
                <w:szCs w:val="21"/>
                <w:highlight w:val="none"/>
              </w:rPr>
              <w:t>。</w:t>
            </w:r>
          </w:p>
          <w:p w14:paraId="2CBBB6CA">
            <w:pPr>
              <w:jc w:val="both"/>
              <w:rPr>
                <w:rFonts w:hint="eastAsia" w:ascii="宋体" w:hAnsi="宋体" w:eastAsia="宋体"/>
                <w:b/>
                <w:bCs/>
                <w:szCs w:val="21"/>
                <w:highlight w:val="none"/>
              </w:rPr>
            </w:pPr>
            <w:r>
              <w:rPr>
                <w:rFonts w:hint="eastAsia" w:ascii="宋体" w:hAnsi="宋体" w:eastAsia="宋体"/>
                <w:b/>
                <w:bCs/>
                <w:szCs w:val="21"/>
                <w:highlight w:val="none"/>
                <w:lang w:val="en-US" w:eastAsia="zh-CN"/>
              </w:rPr>
              <w:t>（二）</w:t>
            </w:r>
            <w:r>
              <w:rPr>
                <w:rFonts w:hint="eastAsia" w:ascii="宋体" w:hAnsi="宋体" w:eastAsia="宋体"/>
                <w:b/>
                <w:bCs/>
                <w:szCs w:val="21"/>
                <w:highlight w:val="none"/>
              </w:rPr>
              <w:t>评审依据：</w:t>
            </w:r>
          </w:p>
          <w:p w14:paraId="2297CD0E">
            <w:pPr>
              <w:jc w:val="both"/>
              <w:rPr>
                <w:rFonts w:hint="eastAsia" w:ascii="宋体" w:hAnsi="宋体" w:eastAsia="宋体"/>
                <w:szCs w:val="21"/>
                <w:highlight w:val="none"/>
                <w:lang w:eastAsia="zh-CN"/>
              </w:rPr>
            </w:pPr>
            <w:r>
              <w:rPr>
                <w:rFonts w:hint="eastAsia" w:ascii="宋体" w:hAnsi="宋体" w:eastAsia="宋体"/>
                <w:szCs w:val="21"/>
                <w:highlight w:val="none"/>
              </w:rPr>
              <w:t>投标人提供合同关键页</w:t>
            </w:r>
            <w:r>
              <w:rPr>
                <w:rFonts w:hint="eastAsia" w:ascii="宋体" w:hAnsi="宋体" w:eastAsia="宋体"/>
                <w:szCs w:val="21"/>
                <w:highlight w:val="none"/>
                <w:lang w:eastAsia="zh-CN"/>
              </w:rPr>
              <w:t>（包括但不限于项目名称、服务内容、签订日期、合同双方签字盖章页）</w:t>
            </w:r>
            <w:r>
              <w:rPr>
                <w:rFonts w:hint="eastAsia" w:ascii="宋体" w:hAnsi="宋体" w:eastAsia="宋体"/>
                <w:szCs w:val="21"/>
                <w:highlight w:val="none"/>
              </w:rPr>
              <w:t>和中标通知书扫描件，未按要求提供或提供不清晰导致专家无法判断的不得分，原件备查。</w:t>
            </w:r>
          </w:p>
        </w:tc>
      </w:tr>
      <w:tr w14:paraId="33FFA61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3124" w:hRule="atLeast"/>
          <w:jc w:val="center"/>
        </w:trPr>
        <w:tc>
          <w:tcPr>
            <w:tcW w:w="374" w:type="pct"/>
            <w:vMerge w:val="continue"/>
            <w:tcBorders>
              <w:top w:val="single" w:color="000000" w:sz="8" w:space="0"/>
              <w:left w:val="single" w:color="000000" w:sz="8" w:space="0"/>
              <w:bottom w:val="single" w:color="000000" w:sz="8" w:space="0"/>
              <w:right w:val="single" w:color="000000" w:sz="8" w:space="0"/>
            </w:tcBorders>
            <w:noWrap w:val="0"/>
            <w:vAlign w:val="center"/>
          </w:tcPr>
          <w:p w14:paraId="622BF0B3">
            <w:pPr>
              <w:keepNext w:val="0"/>
              <w:keepLines w:val="0"/>
              <w:pageBreakBefore w:val="0"/>
              <w:kinsoku/>
              <w:overflowPunct/>
              <w:topLinePunct w:val="0"/>
              <w:bidi w:val="0"/>
              <w:spacing w:line="240" w:lineRule="auto"/>
              <w:rPr>
                <w:rFonts w:hint="eastAsia" w:ascii="宋体" w:hAnsi="宋体" w:eastAsia="宋体" w:cs="宋体"/>
                <w:b/>
                <w:bCs/>
                <w:color w:val="0000FF"/>
                <w:sz w:val="22"/>
                <w:szCs w:val="22"/>
                <w:highlight w:val="none"/>
              </w:rPr>
            </w:pPr>
          </w:p>
        </w:tc>
        <w:tc>
          <w:tcPr>
            <w:tcW w:w="374" w:type="pct"/>
            <w:tcBorders>
              <w:top w:val="single" w:color="000000" w:sz="8" w:space="0"/>
              <w:left w:val="single" w:color="000000" w:sz="8" w:space="0"/>
              <w:bottom w:val="single" w:color="000000" w:sz="8" w:space="0"/>
              <w:right w:val="single" w:color="000000" w:sz="8" w:space="0"/>
            </w:tcBorders>
            <w:noWrap w:val="0"/>
            <w:vAlign w:val="top"/>
          </w:tcPr>
          <w:p w14:paraId="72D7A5EF">
            <w:pPr>
              <w:keepNext w:val="0"/>
              <w:keepLines w:val="0"/>
              <w:pageBreakBefore w:val="0"/>
              <w:kinsoku/>
              <w:wordWrap w:val="0"/>
              <w:overflowPunct/>
              <w:topLinePunct w:val="0"/>
              <w:bidi w:val="0"/>
              <w:snapToGrid/>
              <w:spacing w:line="240" w:lineRule="auto"/>
              <w:jc w:val="center"/>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3</w:t>
            </w:r>
          </w:p>
        </w:tc>
        <w:tc>
          <w:tcPr>
            <w:tcW w:w="1090" w:type="pct"/>
            <w:tcBorders>
              <w:top w:val="single" w:color="000000" w:sz="8" w:space="0"/>
              <w:left w:val="single" w:color="000000" w:sz="8" w:space="0"/>
              <w:bottom w:val="single" w:color="000000" w:sz="8" w:space="0"/>
              <w:right w:val="single" w:color="000000" w:sz="8" w:space="0"/>
            </w:tcBorders>
            <w:noWrap w:val="0"/>
            <w:vAlign w:val="top"/>
          </w:tcPr>
          <w:p w14:paraId="1DFBE1F5">
            <w:pPr>
              <w:keepNext w:val="0"/>
              <w:keepLines w:val="0"/>
              <w:pageBreakBefore w:val="0"/>
              <w:kinsoku/>
              <w:wordWrap w:val="0"/>
              <w:overflowPunct/>
              <w:topLinePunct w:val="0"/>
              <w:bidi w:val="0"/>
              <w:snapToGrid/>
              <w:spacing w:line="240" w:lineRule="auto"/>
              <w:jc w:val="center"/>
              <w:rPr>
                <w:rFonts w:hint="eastAsia" w:ascii="宋体" w:hAnsi="宋体" w:eastAsia="宋体" w:cs="宋体"/>
                <w:color w:val="auto"/>
                <w:sz w:val="22"/>
                <w:szCs w:val="22"/>
                <w:highlight w:val="none"/>
              </w:rPr>
            </w:pPr>
            <w:r>
              <w:rPr>
                <w:rFonts w:hint="eastAsia" w:ascii="宋体" w:hAnsi="宋体" w:eastAsia="宋体" w:cs="宋体"/>
                <w:sz w:val="22"/>
                <w:szCs w:val="22"/>
                <w:highlight w:val="none"/>
              </w:rPr>
              <w:t>履约评价</w:t>
            </w:r>
          </w:p>
        </w:tc>
        <w:tc>
          <w:tcPr>
            <w:tcW w:w="477" w:type="pct"/>
            <w:tcBorders>
              <w:top w:val="single" w:color="000000" w:sz="8" w:space="0"/>
              <w:left w:val="single" w:color="000000" w:sz="8" w:space="0"/>
              <w:bottom w:val="single" w:color="000000" w:sz="8" w:space="0"/>
              <w:right w:val="single" w:color="000000" w:sz="8" w:space="0"/>
            </w:tcBorders>
            <w:noWrap w:val="0"/>
            <w:vAlign w:val="top"/>
          </w:tcPr>
          <w:p w14:paraId="0F24E1B0">
            <w:pPr>
              <w:keepNext w:val="0"/>
              <w:keepLines w:val="0"/>
              <w:pageBreakBefore w:val="0"/>
              <w:kinsoku/>
              <w:wordWrap w:val="0"/>
              <w:overflowPunct/>
              <w:topLinePunct w:val="0"/>
              <w:bidi w:val="0"/>
              <w:snapToGrid/>
              <w:spacing w:line="240" w:lineRule="auto"/>
              <w:jc w:val="center"/>
              <w:rPr>
                <w:rFonts w:hint="default" w:ascii="宋体" w:hAnsi="宋体" w:eastAsia="宋体" w:cs="宋体"/>
                <w:color w:val="auto"/>
                <w:sz w:val="22"/>
                <w:szCs w:val="22"/>
                <w:highlight w:val="none"/>
                <w:lang w:eastAsia="zh-CN"/>
              </w:rPr>
            </w:pPr>
            <w:r>
              <w:rPr>
                <w:rFonts w:hint="default" w:ascii="宋体" w:hAnsi="宋体" w:cs="宋体"/>
                <w:sz w:val="22"/>
                <w:szCs w:val="22"/>
                <w:highlight w:val="none"/>
                <w:lang w:eastAsia="zh-CN"/>
              </w:rPr>
              <w:t>7</w:t>
            </w:r>
          </w:p>
        </w:tc>
        <w:tc>
          <w:tcPr>
            <w:tcW w:w="2683" w:type="pct"/>
            <w:tcBorders>
              <w:top w:val="single" w:color="000000" w:sz="8" w:space="0"/>
              <w:left w:val="single" w:color="000000" w:sz="8" w:space="0"/>
              <w:bottom w:val="single" w:color="000000" w:sz="8" w:space="0"/>
              <w:right w:val="single" w:color="000000" w:sz="8" w:space="0"/>
            </w:tcBorders>
            <w:noWrap w:val="0"/>
            <w:vAlign w:val="center"/>
          </w:tcPr>
          <w:p w14:paraId="012C8DE0">
            <w:pPr>
              <w:jc w:val="both"/>
              <w:rPr>
                <w:rFonts w:hint="eastAsia" w:ascii="宋体" w:hAnsi="宋体" w:eastAsia="宋体"/>
                <w:b/>
                <w:bCs/>
                <w:szCs w:val="21"/>
                <w:highlight w:val="none"/>
              </w:rPr>
            </w:pPr>
            <w:r>
              <w:rPr>
                <w:rFonts w:hint="eastAsia" w:ascii="宋体" w:hAnsi="宋体" w:eastAsia="宋体"/>
                <w:b/>
                <w:bCs/>
                <w:szCs w:val="21"/>
                <w:highlight w:val="none"/>
              </w:rPr>
              <w:t>（一）评审内容：</w:t>
            </w:r>
          </w:p>
          <w:p w14:paraId="596648B6">
            <w:pPr>
              <w:jc w:val="both"/>
              <w:rPr>
                <w:rFonts w:hint="eastAsia" w:ascii="宋体" w:hAnsi="宋体" w:eastAsia="宋体"/>
                <w:szCs w:val="21"/>
                <w:highlight w:val="none"/>
              </w:rPr>
            </w:pPr>
            <w:r>
              <w:rPr>
                <w:rFonts w:hint="eastAsia" w:ascii="宋体" w:hAnsi="宋体" w:eastAsia="宋体"/>
                <w:szCs w:val="21"/>
                <w:highlight w:val="none"/>
              </w:rPr>
              <w:t>在上一项有效的同类业绩中，投标人获得履约评价为优或满意或其他最高等级，每个项目单独开具评价证明</w:t>
            </w:r>
            <w:r>
              <w:rPr>
                <w:rFonts w:hint="eastAsia" w:ascii="宋体" w:hAnsi="宋体" w:eastAsia="宋体"/>
                <w:szCs w:val="21"/>
                <w:highlight w:val="none"/>
                <w:lang w:eastAsia="zh-CN"/>
              </w:rPr>
              <w:t>。提供</w:t>
            </w:r>
            <w:r>
              <w:rPr>
                <w:rFonts w:hint="eastAsia" w:ascii="宋体" w:hAnsi="宋体" w:eastAsia="宋体"/>
                <w:szCs w:val="21"/>
                <w:highlight w:val="none"/>
                <w:lang w:val="en-US" w:eastAsia="zh-CN"/>
              </w:rPr>
              <w:t>10项得</w:t>
            </w:r>
            <w:r>
              <w:rPr>
                <w:rFonts w:hint="default" w:ascii="宋体" w:hAnsi="宋体" w:eastAsia="宋体"/>
                <w:szCs w:val="21"/>
                <w:highlight w:val="none"/>
                <w:lang w:eastAsia="zh-CN"/>
              </w:rPr>
              <w:t>7</w:t>
            </w:r>
            <w:r>
              <w:rPr>
                <w:rFonts w:hint="eastAsia" w:ascii="宋体" w:hAnsi="宋体" w:eastAsia="宋体"/>
                <w:szCs w:val="21"/>
                <w:highlight w:val="none"/>
                <w:lang w:val="en-US" w:eastAsia="zh-CN"/>
              </w:rPr>
              <w:t>分，</w:t>
            </w:r>
            <w:r>
              <w:rPr>
                <w:rFonts w:hint="eastAsia" w:ascii="宋体" w:hAnsi="宋体" w:eastAsia="宋体"/>
                <w:szCs w:val="21"/>
                <w:highlight w:val="none"/>
                <w:lang w:eastAsia="zh-CN"/>
              </w:rPr>
              <w:t>每缺少一项扣</w:t>
            </w:r>
            <w:r>
              <w:rPr>
                <w:rFonts w:hint="eastAsia" w:ascii="宋体" w:hAnsi="宋体" w:eastAsia="宋体"/>
                <w:szCs w:val="21"/>
                <w:highlight w:val="none"/>
                <w:lang w:val="en-US" w:eastAsia="zh-CN"/>
              </w:rPr>
              <w:t>1分，扣完为止</w:t>
            </w:r>
            <w:r>
              <w:rPr>
                <w:rFonts w:hint="eastAsia" w:ascii="宋体" w:hAnsi="宋体" w:eastAsia="宋体"/>
                <w:szCs w:val="21"/>
                <w:highlight w:val="none"/>
              </w:rPr>
              <w:t>。</w:t>
            </w:r>
          </w:p>
          <w:p w14:paraId="6D7FD038">
            <w:pPr>
              <w:jc w:val="both"/>
              <w:rPr>
                <w:rFonts w:hint="eastAsia" w:ascii="宋体" w:hAnsi="宋体" w:eastAsia="宋体"/>
                <w:b/>
                <w:bCs/>
                <w:szCs w:val="21"/>
                <w:highlight w:val="none"/>
              </w:rPr>
            </w:pPr>
            <w:r>
              <w:rPr>
                <w:rFonts w:hint="eastAsia" w:ascii="宋体" w:hAnsi="宋体" w:eastAsia="宋体"/>
                <w:b/>
                <w:bCs/>
                <w:szCs w:val="21"/>
                <w:highlight w:val="none"/>
                <w:lang w:val="en-US" w:eastAsia="zh-CN"/>
              </w:rPr>
              <w:t>（二）</w:t>
            </w:r>
            <w:r>
              <w:rPr>
                <w:rFonts w:hint="eastAsia" w:ascii="宋体" w:hAnsi="宋体" w:eastAsia="宋体"/>
                <w:b/>
                <w:bCs/>
                <w:szCs w:val="21"/>
                <w:highlight w:val="none"/>
              </w:rPr>
              <w:t>评审依据：</w:t>
            </w:r>
          </w:p>
          <w:p w14:paraId="636D2F07">
            <w:pPr>
              <w:jc w:val="both"/>
              <w:rPr>
                <w:rFonts w:hint="eastAsia" w:ascii="宋体" w:hAnsi="宋体" w:eastAsia="宋体"/>
                <w:szCs w:val="21"/>
                <w:highlight w:val="none"/>
              </w:rPr>
            </w:pPr>
            <w:r>
              <w:rPr>
                <w:rFonts w:hint="eastAsia" w:ascii="宋体" w:hAnsi="宋体" w:eastAsia="宋体"/>
                <w:szCs w:val="21"/>
                <w:highlight w:val="none"/>
              </w:rPr>
              <w:t>投标人提供履约评价扫描件</w:t>
            </w:r>
            <w:r>
              <w:rPr>
                <w:rFonts w:hint="eastAsia" w:ascii="宋体" w:hAnsi="宋体" w:eastAsia="宋体"/>
                <w:szCs w:val="21"/>
                <w:highlight w:val="none"/>
                <w:lang w:eastAsia="zh-CN"/>
              </w:rPr>
              <w:t>（</w:t>
            </w:r>
            <w:r>
              <w:rPr>
                <w:rFonts w:hint="eastAsia" w:ascii="宋体" w:hAnsi="宋体" w:eastAsia="宋体"/>
                <w:szCs w:val="21"/>
                <w:highlight w:val="none"/>
              </w:rPr>
              <w:t>履约评价需由服务单位本单位盖章出具，下属单位、内设机构或关联单位的履约评价不得分</w:t>
            </w:r>
            <w:r>
              <w:rPr>
                <w:rFonts w:hint="eastAsia" w:ascii="宋体" w:hAnsi="宋体" w:eastAsia="宋体"/>
                <w:szCs w:val="21"/>
                <w:highlight w:val="none"/>
                <w:lang w:eastAsia="zh-CN"/>
              </w:rPr>
              <w:t>），</w:t>
            </w:r>
            <w:r>
              <w:rPr>
                <w:rFonts w:hint="eastAsia" w:ascii="宋体" w:hAnsi="宋体" w:eastAsia="宋体"/>
                <w:szCs w:val="21"/>
                <w:highlight w:val="none"/>
              </w:rPr>
              <w:t>未按要求提供或提供不清晰导致专家无法判断的不得分，原件备查。</w:t>
            </w:r>
          </w:p>
        </w:tc>
      </w:tr>
      <w:tr w14:paraId="7FF683E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0" w:hRule="atLeast"/>
          <w:jc w:val="center"/>
        </w:trPr>
        <w:tc>
          <w:tcPr>
            <w:tcW w:w="374" w:type="pct"/>
            <w:vMerge w:val="continue"/>
            <w:tcBorders>
              <w:top w:val="single" w:color="000000" w:sz="8" w:space="0"/>
              <w:left w:val="single" w:color="000000" w:sz="8" w:space="0"/>
              <w:bottom w:val="single" w:color="000000" w:sz="8" w:space="0"/>
              <w:right w:val="single" w:color="000000" w:sz="8" w:space="0"/>
            </w:tcBorders>
            <w:noWrap w:val="0"/>
            <w:vAlign w:val="center"/>
          </w:tcPr>
          <w:p w14:paraId="42FBDD08">
            <w:pPr>
              <w:keepNext w:val="0"/>
              <w:keepLines w:val="0"/>
              <w:pageBreakBefore w:val="0"/>
              <w:kinsoku/>
              <w:overflowPunct/>
              <w:topLinePunct w:val="0"/>
              <w:bidi w:val="0"/>
              <w:spacing w:line="240" w:lineRule="auto"/>
              <w:rPr>
                <w:rFonts w:hint="eastAsia" w:ascii="宋体" w:hAnsi="宋体" w:eastAsia="宋体" w:cs="宋体"/>
                <w:b/>
                <w:bCs/>
                <w:color w:val="0000FF"/>
                <w:sz w:val="22"/>
                <w:szCs w:val="22"/>
                <w:highlight w:val="none"/>
              </w:rPr>
            </w:pPr>
          </w:p>
        </w:tc>
        <w:tc>
          <w:tcPr>
            <w:tcW w:w="374" w:type="pct"/>
            <w:tcBorders>
              <w:top w:val="single" w:color="000000" w:sz="8" w:space="0"/>
              <w:left w:val="single" w:color="000000" w:sz="8" w:space="0"/>
              <w:right w:val="single" w:color="000000" w:sz="8" w:space="0"/>
            </w:tcBorders>
            <w:noWrap w:val="0"/>
            <w:vAlign w:val="top"/>
          </w:tcPr>
          <w:p w14:paraId="03221E8F">
            <w:pPr>
              <w:keepNext w:val="0"/>
              <w:keepLines w:val="0"/>
              <w:pageBreakBefore w:val="0"/>
              <w:kinsoku/>
              <w:wordWrap w:val="0"/>
              <w:overflowPunct/>
              <w:topLinePunct w:val="0"/>
              <w:bidi w:val="0"/>
              <w:snapToGrid/>
              <w:spacing w:line="240" w:lineRule="auto"/>
              <w:jc w:val="center"/>
              <w:rPr>
                <w:rFonts w:hint="default" w:ascii="宋体" w:hAnsi="宋体" w:eastAsia="宋体" w:cs="宋体"/>
                <w:color w:val="auto"/>
                <w:sz w:val="22"/>
                <w:szCs w:val="22"/>
                <w:highlight w:val="none"/>
                <w:lang w:eastAsia="zh-CN"/>
              </w:rPr>
            </w:pPr>
            <w:r>
              <w:rPr>
                <w:rFonts w:hint="default" w:ascii="宋体" w:hAnsi="宋体" w:cs="宋体"/>
                <w:color w:val="auto"/>
                <w:sz w:val="22"/>
                <w:szCs w:val="22"/>
                <w:highlight w:val="none"/>
                <w:lang w:eastAsia="zh-CN"/>
              </w:rPr>
              <w:t>4</w:t>
            </w:r>
          </w:p>
        </w:tc>
        <w:tc>
          <w:tcPr>
            <w:tcW w:w="1090" w:type="pct"/>
            <w:tcBorders>
              <w:top w:val="single" w:color="000000" w:sz="8" w:space="0"/>
              <w:left w:val="single" w:color="000000" w:sz="8" w:space="0"/>
              <w:right w:val="single" w:color="000000" w:sz="8" w:space="0"/>
            </w:tcBorders>
            <w:noWrap w:val="0"/>
            <w:vAlign w:val="top"/>
          </w:tcPr>
          <w:p w14:paraId="22DC3978">
            <w:pPr>
              <w:keepNext w:val="0"/>
              <w:keepLines w:val="0"/>
              <w:pageBreakBefore w:val="0"/>
              <w:kinsoku/>
              <w:wordWrap w:val="0"/>
              <w:overflowPunct/>
              <w:topLinePunct w:val="0"/>
              <w:bidi w:val="0"/>
              <w:snapToGrid/>
              <w:spacing w:line="240" w:lineRule="auto"/>
              <w:jc w:val="center"/>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相关保险</w:t>
            </w:r>
          </w:p>
        </w:tc>
        <w:tc>
          <w:tcPr>
            <w:tcW w:w="477" w:type="pct"/>
            <w:tcBorders>
              <w:top w:val="single" w:color="000000" w:sz="8" w:space="0"/>
              <w:left w:val="single" w:color="000000" w:sz="8" w:space="0"/>
              <w:right w:val="single" w:color="000000" w:sz="8" w:space="0"/>
            </w:tcBorders>
            <w:noWrap w:val="0"/>
            <w:vAlign w:val="top"/>
          </w:tcPr>
          <w:p w14:paraId="5B13217F">
            <w:pPr>
              <w:keepNext w:val="0"/>
              <w:keepLines w:val="0"/>
              <w:pageBreakBefore w:val="0"/>
              <w:kinsoku/>
              <w:wordWrap w:val="0"/>
              <w:overflowPunct/>
              <w:topLinePunct w:val="0"/>
              <w:bidi w:val="0"/>
              <w:snapToGrid/>
              <w:spacing w:line="240" w:lineRule="auto"/>
              <w:jc w:val="center"/>
              <w:rPr>
                <w:rFonts w:hint="default" w:ascii="宋体" w:hAnsi="宋体" w:eastAsia="宋体" w:cs="宋体"/>
                <w:color w:val="auto"/>
                <w:sz w:val="22"/>
                <w:szCs w:val="22"/>
                <w:highlight w:val="none"/>
              </w:rPr>
            </w:pPr>
            <w:r>
              <w:rPr>
                <w:rFonts w:hint="default" w:ascii="宋体" w:hAnsi="宋体" w:cs="宋体"/>
                <w:color w:val="auto"/>
                <w:sz w:val="22"/>
                <w:szCs w:val="22"/>
                <w:highlight w:val="none"/>
              </w:rPr>
              <w:t>8</w:t>
            </w:r>
          </w:p>
        </w:tc>
        <w:tc>
          <w:tcPr>
            <w:tcW w:w="2683" w:type="pct"/>
            <w:tcBorders>
              <w:top w:val="single" w:color="000000" w:sz="8" w:space="0"/>
              <w:left w:val="single" w:color="000000" w:sz="8" w:space="0"/>
              <w:bottom w:val="single" w:color="000000" w:sz="8" w:space="0"/>
              <w:right w:val="single" w:color="000000" w:sz="8" w:space="0"/>
            </w:tcBorders>
            <w:noWrap w:val="0"/>
            <w:vAlign w:val="top"/>
          </w:tcPr>
          <w:p w14:paraId="3EF255F9">
            <w:pPr>
              <w:jc w:val="both"/>
              <w:rPr>
                <w:rFonts w:hint="eastAsia" w:ascii="宋体" w:hAnsi="宋体" w:eastAsia="宋体"/>
                <w:b/>
                <w:bCs/>
                <w:szCs w:val="21"/>
                <w:highlight w:val="none"/>
              </w:rPr>
            </w:pPr>
            <w:r>
              <w:rPr>
                <w:rFonts w:hint="eastAsia" w:ascii="宋体" w:hAnsi="宋体" w:eastAsia="宋体"/>
                <w:b/>
                <w:bCs/>
                <w:szCs w:val="21"/>
                <w:highlight w:val="none"/>
              </w:rPr>
              <w:t>（一）评审内容：</w:t>
            </w:r>
          </w:p>
          <w:p w14:paraId="0A5E0745">
            <w:pPr>
              <w:jc w:val="both"/>
              <w:rPr>
                <w:rFonts w:hint="eastAsia" w:ascii="宋体" w:hAnsi="宋体" w:eastAsia="宋体"/>
                <w:szCs w:val="21"/>
                <w:highlight w:val="none"/>
              </w:rPr>
            </w:pPr>
            <w:r>
              <w:rPr>
                <w:rFonts w:hint="eastAsia" w:ascii="宋体" w:hAnsi="宋体" w:eastAsia="宋体"/>
                <w:szCs w:val="21"/>
                <w:highlight w:val="none"/>
              </w:rPr>
              <w:t>根据投标人购买相关责任险等级评定：</w:t>
            </w:r>
          </w:p>
          <w:p w14:paraId="3AADD43A">
            <w:pPr>
              <w:jc w:val="both"/>
              <w:rPr>
                <w:rFonts w:hint="eastAsia" w:ascii="宋体" w:hAnsi="宋体" w:eastAsia="宋体"/>
                <w:szCs w:val="21"/>
                <w:highlight w:val="none"/>
              </w:rPr>
            </w:pPr>
            <w:r>
              <w:rPr>
                <w:rFonts w:hint="eastAsia" w:ascii="宋体" w:hAnsi="宋体" w:eastAsia="宋体"/>
                <w:szCs w:val="21"/>
                <w:highlight w:val="none"/>
              </w:rPr>
              <w:t>（1）提供有效的食品安全保险：</w:t>
            </w:r>
          </w:p>
          <w:p w14:paraId="326E2B52">
            <w:pPr>
              <w:jc w:val="both"/>
              <w:rPr>
                <w:rFonts w:hint="eastAsia" w:ascii="宋体" w:hAnsi="宋体" w:eastAsia="宋体"/>
                <w:szCs w:val="21"/>
                <w:highlight w:val="none"/>
              </w:rPr>
            </w:pPr>
            <w:r>
              <w:rPr>
                <w:rFonts w:hint="eastAsia" w:ascii="宋体" w:hAnsi="宋体" w:eastAsia="宋体"/>
                <w:szCs w:val="21"/>
                <w:highlight w:val="none"/>
              </w:rPr>
              <w:t>①保额在1</w:t>
            </w:r>
            <w:r>
              <w:rPr>
                <w:rFonts w:hint="eastAsia" w:ascii="宋体" w:hAnsi="宋体" w:eastAsia="宋体"/>
                <w:szCs w:val="21"/>
                <w:highlight w:val="none"/>
                <w:lang w:eastAsia="zh-CN"/>
              </w:rPr>
              <w:t>亿</w:t>
            </w:r>
            <w:r>
              <w:rPr>
                <w:rFonts w:hint="eastAsia" w:ascii="宋体" w:hAnsi="宋体" w:eastAsia="宋体"/>
                <w:szCs w:val="21"/>
                <w:highlight w:val="none"/>
              </w:rPr>
              <w:t>或以上的</w:t>
            </w:r>
            <w:r>
              <w:rPr>
                <w:rFonts w:hint="eastAsia" w:ascii="宋体" w:hAnsi="宋体" w:eastAsia="宋体"/>
                <w:szCs w:val="21"/>
                <w:highlight w:val="none"/>
                <w:lang w:eastAsia="zh-CN"/>
              </w:rPr>
              <w:t>，</w:t>
            </w:r>
            <w:r>
              <w:rPr>
                <w:rFonts w:hint="eastAsia" w:ascii="宋体" w:hAnsi="宋体" w:eastAsia="宋体"/>
                <w:szCs w:val="21"/>
                <w:highlight w:val="none"/>
              </w:rPr>
              <w:t>得</w:t>
            </w:r>
            <w:r>
              <w:rPr>
                <w:rFonts w:hint="default" w:ascii="宋体" w:hAnsi="宋体" w:eastAsia="宋体"/>
                <w:szCs w:val="21"/>
                <w:highlight w:val="none"/>
                <w:lang w:eastAsia="zh-CN"/>
              </w:rPr>
              <w:t>4</w:t>
            </w:r>
            <w:r>
              <w:rPr>
                <w:rFonts w:hint="eastAsia" w:ascii="宋体" w:hAnsi="宋体" w:eastAsia="宋体"/>
                <w:szCs w:val="21"/>
                <w:highlight w:val="none"/>
                <w:lang w:val="en-US" w:eastAsia="zh-CN"/>
              </w:rPr>
              <w:t>分</w:t>
            </w:r>
            <w:r>
              <w:rPr>
                <w:rFonts w:hint="eastAsia" w:ascii="宋体" w:hAnsi="宋体" w:eastAsia="宋体"/>
                <w:szCs w:val="21"/>
                <w:highlight w:val="none"/>
              </w:rPr>
              <w:t>；</w:t>
            </w:r>
          </w:p>
          <w:p w14:paraId="18BFEA67">
            <w:pPr>
              <w:jc w:val="both"/>
              <w:rPr>
                <w:rFonts w:hint="eastAsia" w:ascii="宋体" w:hAnsi="宋体" w:eastAsia="宋体"/>
                <w:szCs w:val="21"/>
                <w:highlight w:val="none"/>
              </w:rPr>
            </w:pPr>
            <w:r>
              <w:rPr>
                <w:rFonts w:hint="eastAsia" w:ascii="宋体" w:hAnsi="宋体" w:eastAsia="宋体"/>
                <w:szCs w:val="21"/>
                <w:highlight w:val="none"/>
              </w:rPr>
              <w:t>②保额在</w:t>
            </w:r>
            <w:r>
              <w:rPr>
                <w:rFonts w:hint="eastAsia" w:ascii="宋体" w:hAnsi="宋体" w:eastAsia="宋体"/>
                <w:szCs w:val="21"/>
                <w:highlight w:val="none"/>
                <w:lang w:val="en-US" w:eastAsia="zh-CN"/>
              </w:rPr>
              <w:t>6000</w:t>
            </w:r>
            <w:r>
              <w:rPr>
                <w:rFonts w:hint="eastAsia" w:ascii="宋体" w:hAnsi="宋体" w:eastAsia="宋体"/>
                <w:szCs w:val="21"/>
                <w:highlight w:val="none"/>
              </w:rPr>
              <w:t>万（含）—</w:t>
            </w:r>
            <w:r>
              <w:rPr>
                <w:rFonts w:hint="eastAsia" w:ascii="宋体" w:hAnsi="宋体" w:eastAsia="宋体"/>
                <w:szCs w:val="21"/>
                <w:highlight w:val="none"/>
                <w:lang w:val="en-US" w:eastAsia="zh-CN"/>
              </w:rPr>
              <w:t>1亿</w:t>
            </w:r>
            <w:r>
              <w:rPr>
                <w:rFonts w:hint="eastAsia" w:ascii="宋体" w:hAnsi="宋体" w:eastAsia="宋体"/>
                <w:szCs w:val="21"/>
                <w:highlight w:val="none"/>
              </w:rPr>
              <w:t>的</w:t>
            </w:r>
            <w:r>
              <w:rPr>
                <w:rFonts w:hint="eastAsia" w:ascii="宋体" w:hAnsi="宋体" w:eastAsia="宋体"/>
                <w:szCs w:val="21"/>
                <w:highlight w:val="none"/>
                <w:lang w:eastAsia="zh-CN"/>
              </w:rPr>
              <w:t>，</w:t>
            </w:r>
            <w:r>
              <w:rPr>
                <w:rFonts w:hint="eastAsia" w:ascii="宋体" w:hAnsi="宋体" w:eastAsia="宋体"/>
                <w:szCs w:val="21"/>
                <w:highlight w:val="none"/>
              </w:rPr>
              <w:t>得</w:t>
            </w:r>
            <w:r>
              <w:rPr>
                <w:rFonts w:hint="default" w:ascii="宋体" w:hAnsi="宋体" w:eastAsia="宋体"/>
                <w:szCs w:val="21"/>
                <w:highlight w:val="none"/>
                <w:lang w:eastAsia="zh-CN"/>
              </w:rPr>
              <w:t>3</w:t>
            </w:r>
            <w:r>
              <w:rPr>
                <w:rFonts w:hint="eastAsia" w:ascii="宋体" w:hAnsi="宋体" w:eastAsia="宋体"/>
                <w:szCs w:val="21"/>
                <w:highlight w:val="none"/>
                <w:lang w:val="en-US" w:eastAsia="zh-CN"/>
              </w:rPr>
              <w:t>分</w:t>
            </w:r>
            <w:r>
              <w:rPr>
                <w:rFonts w:hint="eastAsia" w:ascii="宋体" w:hAnsi="宋体" w:eastAsia="宋体"/>
                <w:szCs w:val="21"/>
                <w:highlight w:val="none"/>
              </w:rPr>
              <w:t>；</w:t>
            </w:r>
          </w:p>
          <w:p w14:paraId="49CC59A2">
            <w:pPr>
              <w:jc w:val="both"/>
              <w:rPr>
                <w:rFonts w:hint="eastAsia" w:ascii="宋体" w:hAnsi="宋体" w:eastAsia="宋体"/>
                <w:szCs w:val="21"/>
                <w:highlight w:val="none"/>
              </w:rPr>
            </w:pPr>
            <w:r>
              <w:rPr>
                <w:rFonts w:hint="eastAsia" w:ascii="宋体" w:hAnsi="宋体" w:eastAsia="宋体"/>
                <w:szCs w:val="21"/>
                <w:highlight w:val="none"/>
              </w:rPr>
              <w:t>③保额在</w:t>
            </w:r>
            <w:r>
              <w:rPr>
                <w:rFonts w:hint="eastAsia" w:ascii="宋体" w:hAnsi="宋体" w:eastAsia="宋体"/>
                <w:szCs w:val="21"/>
                <w:highlight w:val="none"/>
                <w:lang w:val="en-US" w:eastAsia="zh-CN"/>
              </w:rPr>
              <w:t>3</w:t>
            </w:r>
            <w:r>
              <w:rPr>
                <w:rFonts w:hint="eastAsia" w:ascii="宋体" w:hAnsi="宋体" w:eastAsia="宋体"/>
                <w:szCs w:val="21"/>
                <w:highlight w:val="none"/>
              </w:rPr>
              <w:t>000万（含）—</w:t>
            </w:r>
            <w:r>
              <w:rPr>
                <w:rFonts w:hint="eastAsia" w:ascii="宋体" w:hAnsi="宋体" w:eastAsia="宋体"/>
                <w:szCs w:val="21"/>
                <w:highlight w:val="none"/>
                <w:lang w:val="en-US" w:eastAsia="zh-CN"/>
              </w:rPr>
              <w:t>6</w:t>
            </w:r>
            <w:r>
              <w:rPr>
                <w:rFonts w:hint="eastAsia" w:ascii="宋体" w:hAnsi="宋体" w:eastAsia="宋体"/>
                <w:szCs w:val="21"/>
                <w:highlight w:val="none"/>
              </w:rPr>
              <w:t>000万的</w:t>
            </w:r>
            <w:r>
              <w:rPr>
                <w:rFonts w:hint="eastAsia" w:ascii="宋体" w:hAnsi="宋体" w:eastAsia="宋体"/>
                <w:szCs w:val="21"/>
                <w:highlight w:val="none"/>
                <w:lang w:eastAsia="zh-CN"/>
              </w:rPr>
              <w:t>，</w:t>
            </w:r>
            <w:r>
              <w:rPr>
                <w:rFonts w:hint="eastAsia" w:ascii="宋体" w:hAnsi="宋体" w:eastAsia="宋体"/>
                <w:szCs w:val="21"/>
                <w:highlight w:val="none"/>
              </w:rPr>
              <w:t>得</w:t>
            </w:r>
            <w:r>
              <w:rPr>
                <w:rFonts w:hint="default" w:ascii="宋体" w:hAnsi="宋体" w:eastAsia="宋体"/>
                <w:szCs w:val="21"/>
                <w:highlight w:val="none"/>
                <w:lang w:eastAsia="zh-CN"/>
              </w:rPr>
              <w:t>2</w:t>
            </w:r>
            <w:r>
              <w:rPr>
                <w:rFonts w:hint="eastAsia" w:ascii="宋体" w:hAnsi="宋体" w:eastAsia="宋体"/>
                <w:szCs w:val="21"/>
                <w:highlight w:val="none"/>
                <w:lang w:val="en-US" w:eastAsia="zh-CN"/>
              </w:rPr>
              <w:t>分</w:t>
            </w:r>
            <w:r>
              <w:rPr>
                <w:rFonts w:hint="eastAsia" w:ascii="宋体" w:hAnsi="宋体" w:eastAsia="宋体"/>
                <w:szCs w:val="21"/>
                <w:highlight w:val="none"/>
              </w:rPr>
              <w:t>；</w:t>
            </w:r>
          </w:p>
          <w:p w14:paraId="3D9B4A4B">
            <w:pPr>
              <w:jc w:val="both"/>
              <w:rPr>
                <w:rFonts w:hint="eastAsia" w:ascii="宋体" w:hAnsi="宋体" w:eastAsia="宋体"/>
                <w:szCs w:val="21"/>
                <w:highlight w:val="none"/>
              </w:rPr>
            </w:pPr>
            <w:r>
              <w:rPr>
                <w:rFonts w:hint="eastAsia" w:ascii="宋体" w:hAnsi="宋体" w:eastAsia="宋体"/>
                <w:szCs w:val="21"/>
                <w:highlight w:val="none"/>
              </w:rPr>
              <w:t>④保额在</w:t>
            </w:r>
            <w:r>
              <w:rPr>
                <w:rFonts w:hint="eastAsia" w:ascii="宋体" w:hAnsi="宋体" w:eastAsia="宋体"/>
                <w:szCs w:val="21"/>
                <w:highlight w:val="none"/>
                <w:lang w:val="en-US" w:eastAsia="zh-CN"/>
              </w:rPr>
              <w:t>3</w:t>
            </w:r>
            <w:r>
              <w:rPr>
                <w:rFonts w:hint="eastAsia" w:ascii="宋体" w:hAnsi="宋体" w:eastAsia="宋体"/>
                <w:szCs w:val="21"/>
                <w:highlight w:val="none"/>
              </w:rPr>
              <w:t>000万以下</w:t>
            </w:r>
            <w:r>
              <w:rPr>
                <w:rFonts w:hint="eastAsia" w:ascii="宋体" w:hAnsi="宋体" w:eastAsia="宋体"/>
                <w:szCs w:val="21"/>
                <w:highlight w:val="none"/>
                <w:lang w:eastAsia="zh-CN"/>
              </w:rPr>
              <w:t>不</w:t>
            </w:r>
            <w:r>
              <w:rPr>
                <w:rFonts w:hint="eastAsia" w:ascii="宋体" w:hAnsi="宋体" w:eastAsia="宋体"/>
                <w:szCs w:val="21"/>
                <w:highlight w:val="none"/>
              </w:rPr>
              <w:t>得</w:t>
            </w:r>
            <w:r>
              <w:rPr>
                <w:rFonts w:hint="eastAsia" w:ascii="宋体" w:hAnsi="宋体" w:eastAsia="宋体"/>
                <w:szCs w:val="21"/>
                <w:highlight w:val="none"/>
                <w:lang w:val="en-US" w:eastAsia="zh-CN"/>
              </w:rPr>
              <w:t>分</w:t>
            </w:r>
            <w:r>
              <w:rPr>
                <w:rFonts w:hint="eastAsia" w:ascii="宋体" w:hAnsi="宋体"/>
                <w:szCs w:val="21"/>
                <w:highlight w:val="none"/>
                <w:lang w:val="en-US" w:eastAsia="zh-CN"/>
              </w:rPr>
              <w:t>。</w:t>
            </w:r>
          </w:p>
          <w:p w14:paraId="2CFC88B2">
            <w:pPr>
              <w:jc w:val="both"/>
              <w:rPr>
                <w:rFonts w:hint="eastAsia" w:ascii="宋体" w:hAnsi="宋体" w:eastAsia="宋体"/>
                <w:szCs w:val="21"/>
                <w:highlight w:val="none"/>
              </w:rPr>
            </w:pPr>
            <w:r>
              <w:rPr>
                <w:rFonts w:hint="eastAsia" w:ascii="宋体" w:hAnsi="宋体" w:eastAsia="宋体"/>
                <w:szCs w:val="21"/>
                <w:highlight w:val="none"/>
              </w:rPr>
              <w:t>（2）提供有效的公众责任险：</w:t>
            </w:r>
          </w:p>
          <w:p w14:paraId="312C9690">
            <w:pPr>
              <w:jc w:val="both"/>
              <w:rPr>
                <w:rFonts w:hint="eastAsia" w:ascii="宋体" w:hAnsi="宋体" w:eastAsia="宋体"/>
                <w:szCs w:val="21"/>
                <w:highlight w:val="none"/>
              </w:rPr>
            </w:pPr>
            <w:r>
              <w:rPr>
                <w:rFonts w:hint="eastAsia" w:ascii="宋体" w:hAnsi="宋体" w:eastAsia="宋体"/>
                <w:szCs w:val="21"/>
                <w:highlight w:val="none"/>
              </w:rPr>
              <w:t>①保额在</w:t>
            </w:r>
            <w:r>
              <w:rPr>
                <w:rFonts w:hint="eastAsia" w:ascii="宋体" w:hAnsi="宋体" w:eastAsia="宋体"/>
                <w:szCs w:val="21"/>
                <w:highlight w:val="none"/>
                <w:lang w:val="en-US" w:eastAsia="zh-CN"/>
              </w:rPr>
              <w:t>1亿</w:t>
            </w:r>
            <w:r>
              <w:rPr>
                <w:rFonts w:hint="eastAsia" w:ascii="宋体" w:hAnsi="宋体" w:eastAsia="宋体"/>
                <w:szCs w:val="21"/>
                <w:highlight w:val="none"/>
              </w:rPr>
              <w:t>或以上的</w:t>
            </w:r>
            <w:r>
              <w:rPr>
                <w:rFonts w:hint="eastAsia" w:ascii="宋体" w:hAnsi="宋体" w:eastAsia="宋体"/>
                <w:szCs w:val="21"/>
                <w:highlight w:val="none"/>
                <w:lang w:eastAsia="zh-CN"/>
              </w:rPr>
              <w:t>，</w:t>
            </w:r>
            <w:r>
              <w:rPr>
                <w:rFonts w:hint="eastAsia" w:ascii="宋体" w:hAnsi="宋体" w:eastAsia="宋体"/>
                <w:szCs w:val="21"/>
                <w:highlight w:val="none"/>
              </w:rPr>
              <w:t>得</w:t>
            </w:r>
            <w:r>
              <w:rPr>
                <w:rFonts w:hint="default" w:ascii="宋体" w:hAnsi="宋体" w:eastAsia="宋体"/>
                <w:szCs w:val="21"/>
                <w:highlight w:val="none"/>
                <w:lang w:eastAsia="zh-CN"/>
              </w:rPr>
              <w:t>4</w:t>
            </w:r>
            <w:r>
              <w:rPr>
                <w:rFonts w:hint="eastAsia" w:ascii="宋体" w:hAnsi="宋体" w:eastAsia="宋体"/>
                <w:szCs w:val="21"/>
                <w:highlight w:val="none"/>
                <w:lang w:val="en-US" w:eastAsia="zh-CN"/>
              </w:rPr>
              <w:t>分</w:t>
            </w:r>
            <w:r>
              <w:rPr>
                <w:rFonts w:hint="eastAsia" w:ascii="宋体" w:hAnsi="宋体" w:eastAsia="宋体"/>
                <w:szCs w:val="21"/>
                <w:highlight w:val="none"/>
              </w:rPr>
              <w:t>；</w:t>
            </w:r>
          </w:p>
          <w:p w14:paraId="7C4134DC">
            <w:pPr>
              <w:jc w:val="both"/>
              <w:rPr>
                <w:rFonts w:hint="eastAsia" w:ascii="宋体" w:hAnsi="宋体" w:eastAsia="宋体"/>
                <w:szCs w:val="21"/>
                <w:highlight w:val="none"/>
              </w:rPr>
            </w:pPr>
            <w:r>
              <w:rPr>
                <w:rFonts w:hint="eastAsia" w:ascii="宋体" w:hAnsi="宋体" w:eastAsia="宋体"/>
                <w:szCs w:val="21"/>
                <w:highlight w:val="none"/>
              </w:rPr>
              <w:t>②保额在</w:t>
            </w:r>
            <w:r>
              <w:rPr>
                <w:rFonts w:hint="eastAsia" w:ascii="宋体" w:hAnsi="宋体" w:eastAsia="宋体"/>
                <w:szCs w:val="21"/>
                <w:highlight w:val="none"/>
                <w:lang w:val="en-US" w:eastAsia="zh-CN"/>
              </w:rPr>
              <w:t>6000万</w:t>
            </w:r>
            <w:r>
              <w:rPr>
                <w:rFonts w:hint="eastAsia" w:ascii="宋体" w:hAnsi="宋体" w:eastAsia="宋体"/>
                <w:szCs w:val="21"/>
                <w:highlight w:val="none"/>
              </w:rPr>
              <w:t>（含）—</w:t>
            </w:r>
            <w:r>
              <w:rPr>
                <w:rFonts w:hint="eastAsia" w:ascii="宋体" w:hAnsi="宋体" w:eastAsia="宋体"/>
                <w:szCs w:val="21"/>
                <w:highlight w:val="none"/>
                <w:lang w:val="en-US" w:eastAsia="zh-CN"/>
              </w:rPr>
              <w:t>1亿</w:t>
            </w:r>
            <w:r>
              <w:rPr>
                <w:rFonts w:hint="eastAsia" w:ascii="宋体" w:hAnsi="宋体" w:eastAsia="宋体"/>
                <w:szCs w:val="21"/>
                <w:highlight w:val="none"/>
              </w:rPr>
              <w:t>的</w:t>
            </w:r>
            <w:r>
              <w:rPr>
                <w:rFonts w:hint="eastAsia" w:ascii="宋体" w:hAnsi="宋体" w:eastAsia="宋体"/>
                <w:szCs w:val="21"/>
                <w:highlight w:val="none"/>
                <w:lang w:eastAsia="zh-CN"/>
              </w:rPr>
              <w:t>，</w:t>
            </w:r>
            <w:r>
              <w:rPr>
                <w:rFonts w:hint="eastAsia" w:ascii="宋体" w:hAnsi="宋体" w:eastAsia="宋体"/>
                <w:szCs w:val="21"/>
                <w:highlight w:val="none"/>
              </w:rPr>
              <w:t>得</w:t>
            </w:r>
            <w:r>
              <w:rPr>
                <w:rFonts w:hint="default" w:ascii="宋体" w:hAnsi="宋体" w:eastAsia="宋体"/>
                <w:szCs w:val="21"/>
                <w:highlight w:val="none"/>
                <w:lang w:eastAsia="zh-CN"/>
              </w:rPr>
              <w:t>3</w:t>
            </w:r>
            <w:r>
              <w:rPr>
                <w:rFonts w:hint="eastAsia" w:ascii="宋体" w:hAnsi="宋体" w:eastAsia="宋体"/>
                <w:szCs w:val="21"/>
                <w:highlight w:val="none"/>
                <w:lang w:val="en-US" w:eastAsia="zh-CN"/>
              </w:rPr>
              <w:t>分</w:t>
            </w:r>
            <w:r>
              <w:rPr>
                <w:rFonts w:hint="eastAsia" w:ascii="宋体" w:hAnsi="宋体" w:eastAsia="宋体"/>
                <w:szCs w:val="21"/>
                <w:highlight w:val="none"/>
              </w:rPr>
              <w:t>；</w:t>
            </w:r>
          </w:p>
          <w:p w14:paraId="5BB6CDC1">
            <w:pPr>
              <w:jc w:val="both"/>
              <w:rPr>
                <w:rFonts w:hint="eastAsia" w:ascii="宋体" w:hAnsi="宋体" w:eastAsia="宋体"/>
                <w:szCs w:val="21"/>
                <w:highlight w:val="none"/>
              </w:rPr>
            </w:pPr>
            <w:r>
              <w:rPr>
                <w:rFonts w:hint="eastAsia" w:ascii="宋体" w:hAnsi="宋体" w:eastAsia="宋体"/>
                <w:szCs w:val="21"/>
                <w:highlight w:val="none"/>
              </w:rPr>
              <w:t>③保额在</w:t>
            </w:r>
            <w:r>
              <w:rPr>
                <w:rFonts w:hint="default" w:ascii="宋体" w:hAnsi="宋体" w:eastAsia="宋体"/>
                <w:szCs w:val="21"/>
                <w:highlight w:val="none"/>
              </w:rPr>
              <w:t>3000万</w:t>
            </w:r>
            <w:r>
              <w:rPr>
                <w:rFonts w:hint="eastAsia" w:ascii="宋体" w:hAnsi="宋体" w:eastAsia="宋体"/>
                <w:szCs w:val="21"/>
                <w:highlight w:val="none"/>
              </w:rPr>
              <w:t>（含）</w:t>
            </w:r>
            <w:r>
              <w:rPr>
                <w:rFonts w:hint="default" w:ascii="宋体" w:hAnsi="宋体" w:eastAsia="宋体"/>
                <w:szCs w:val="21"/>
                <w:highlight w:val="none"/>
              </w:rPr>
              <w:t>-</w:t>
            </w:r>
            <w:r>
              <w:rPr>
                <w:rFonts w:hint="eastAsia" w:ascii="宋体" w:hAnsi="宋体" w:eastAsia="宋体"/>
                <w:szCs w:val="21"/>
                <w:highlight w:val="none"/>
                <w:lang w:val="en-US" w:eastAsia="zh-CN"/>
              </w:rPr>
              <w:t>6000</w:t>
            </w:r>
            <w:r>
              <w:rPr>
                <w:rFonts w:hint="eastAsia" w:ascii="宋体" w:hAnsi="宋体" w:eastAsia="宋体"/>
                <w:szCs w:val="21"/>
                <w:highlight w:val="none"/>
              </w:rPr>
              <w:t>万以下得</w:t>
            </w:r>
            <w:r>
              <w:rPr>
                <w:rFonts w:hint="default" w:ascii="宋体" w:hAnsi="宋体" w:eastAsia="宋体"/>
                <w:szCs w:val="21"/>
                <w:highlight w:val="none"/>
                <w:lang w:eastAsia="zh-CN"/>
              </w:rPr>
              <w:t>2</w:t>
            </w:r>
            <w:r>
              <w:rPr>
                <w:rFonts w:hint="eastAsia" w:ascii="宋体" w:hAnsi="宋体" w:eastAsia="宋体"/>
                <w:szCs w:val="21"/>
                <w:highlight w:val="none"/>
                <w:lang w:val="en-US" w:eastAsia="zh-CN"/>
              </w:rPr>
              <w:t>分</w:t>
            </w:r>
            <w:r>
              <w:rPr>
                <w:rFonts w:hint="eastAsia" w:ascii="宋体" w:hAnsi="宋体" w:eastAsia="宋体"/>
                <w:szCs w:val="21"/>
                <w:highlight w:val="none"/>
              </w:rPr>
              <w:t>；</w:t>
            </w:r>
          </w:p>
          <w:p w14:paraId="15FD266A">
            <w:pPr>
              <w:jc w:val="both"/>
              <w:rPr>
                <w:rFonts w:hint="eastAsia" w:ascii="宋体" w:hAnsi="宋体" w:eastAsia="宋体"/>
                <w:szCs w:val="21"/>
                <w:highlight w:val="none"/>
              </w:rPr>
            </w:pPr>
            <w:r>
              <w:rPr>
                <w:rFonts w:hint="default" w:ascii="宋体" w:hAnsi="宋体" w:eastAsia="宋体"/>
                <w:szCs w:val="21"/>
                <w:highlight w:val="none"/>
              </w:rPr>
              <w:t>④</w:t>
            </w:r>
            <w:r>
              <w:rPr>
                <w:rFonts w:hint="eastAsia" w:ascii="宋体" w:hAnsi="宋体" w:eastAsia="宋体"/>
                <w:szCs w:val="21"/>
                <w:highlight w:val="none"/>
              </w:rPr>
              <w:t>保额在</w:t>
            </w:r>
            <w:r>
              <w:rPr>
                <w:rFonts w:hint="eastAsia" w:ascii="宋体" w:hAnsi="宋体" w:eastAsia="宋体"/>
                <w:szCs w:val="21"/>
                <w:highlight w:val="none"/>
                <w:lang w:val="en-US" w:eastAsia="zh-CN"/>
              </w:rPr>
              <w:t>3</w:t>
            </w:r>
            <w:r>
              <w:rPr>
                <w:rFonts w:hint="eastAsia" w:ascii="宋体" w:hAnsi="宋体" w:eastAsia="宋体"/>
                <w:szCs w:val="21"/>
                <w:highlight w:val="none"/>
              </w:rPr>
              <w:t>000万以下</w:t>
            </w:r>
            <w:r>
              <w:rPr>
                <w:rFonts w:hint="eastAsia" w:ascii="宋体" w:hAnsi="宋体" w:eastAsia="宋体"/>
                <w:szCs w:val="21"/>
                <w:highlight w:val="none"/>
                <w:lang w:eastAsia="zh-CN"/>
              </w:rPr>
              <w:t>不</w:t>
            </w:r>
            <w:r>
              <w:rPr>
                <w:rFonts w:hint="eastAsia" w:ascii="宋体" w:hAnsi="宋体" w:eastAsia="宋体"/>
                <w:szCs w:val="21"/>
                <w:highlight w:val="none"/>
              </w:rPr>
              <w:t>得</w:t>
            </w:r>
            <w:r>
              <w:rPr>
                <w:rFonts w:hint="eastAsia" w:ascii="宋体" w:hAnsi="宋体" w:eastAsia="宋体"/>
                <w:szCs w:val="21"/>
                <w:highlight w:val="none"/>
                <w:lang w:val="en-US" w:eastAsia="zh-CN"/>
              </w:rPr>
              <w:t>分</w:t>
            </w:r>
            <w:r>
              <w:rPr>
                <w:rFonts w:hint="eastAsia" w:ascii="宋体" w:hAnsi="宋体" w:eastAsia="宋体"/>
                <w:szCs w:val="21"/>
                <w:highlight w:val="none"/>
              </w:rPr>
              <w:t>。</w:t>
            </w:r>
          </w:p>
          <w:p w14:paraId="61815A2C">
            <w:pPr>
              <w:jc w:val="both"/>
              <w:rPr>
                <w:rFonts w:hint="eastAsia" w:ascii="宋体" w:hAnsi="宋体" w:eastAsia="宋体"/>
                <w:b/>
                <w:bCs/>
                <w:szCs w:val="21"/>
                <w:highlight w:val="none"/>
              </w:rPr>
            </w:pPr>
            <w:r>
              <w:rPr>
                <w:rFonts w:hint="default" w:ascii="宋体" w:hAnsi="宋体" w:eastAsia="宋体"/>
                <w:b/>
                <w:bCs/>
                <w:szCs w:val="21"/>
                <w:highlight w:val="none"/>
              </w:rPr>
              <w:t>（二）</w:t>
            </w:r>
            <w:r>
              <w:rPr>
                <w:rFonts w:hint="eastAsia" w:ascii="宋体" w:hAnsi="宋体" w:eastAsia="宋体"/>
                <w:b/>
                <w:bCs/>
                <w:szCs w:val="21"/>
                <w:highlight w:val="none"/>
              </w:rPr>
              <w:t>评审依据：</w:t>
            </w:r>
          </w:p>
          <w:p w14:paraId="4D07389F">
            <w:pPr>
              <w:jc w:val="both"/>
              <w:rPr>
                <w:rFonts w:hint="eastAsia" w:ascii="宋体" w:hAnsi="宋体" w:eastAsia="宋体"/>
                <w:szCs w:val="21"/>
                <w:highlight w:val="none"/>
              </w:rPr>
            </w:pPr>
            <w:r>
              <w:rPr>
                <w:rFonts w:hint="eastAsia" w:ascii="宋体" w:hAnsi="宋体" w:eastAsia="宋体"/>
                <w:szCs w:val="21"/>
                <w:highlight w:val="none"/>
              </w:rPr>
              <w:t>投标人提供有效期内</w:t>
            </w:r>
            <w:r>
              <w:rPr>
                <w:rFonts w:hint="default" w:ascii="宋体" w:hAnsi="宋体" w:eastAsia="宋体"/>
                <w:szCs w:val="21"/>
                <w:highlight w:val="none"/>
              </w:rPr>
              <w:t>的</w:t>
            </w:r>
            <w:r>
              <w:rPr>
                <w:rFonts w:hint="eastAsia" w:ascii="宋体" w:hAnsi="宋体" w:eastAsia="宋体"/>
                <w:szCs w:val="21"/>
                <w:highlight w:val="none"/>
              </w:rPr>
              <w:t>保险发票及有效的保单扫描件，如果保险期内无法覆盖合同服务期限，则需承诺在本项目合同服务期限继续购买同等级或以上保险（格式自定）</w:t>
            </w:r>
            <w:r>
              <w:rPr>
                <w:rFonts w:hint="eastAsia" w:ascii="宋体" w:hAnsi="宋体" w:eastAsia="宋体"/>
                <w:szCs w:val="21"/>
                <w:highlight w:val="none"/>
                <w:lang w:eastAsia="zh-CN"/>
              </w:rPr>
              <w:t>。</w:t>
            </w:r>
            <w:r>
              <w:rPr>
                <w:rFonts w:hint="eastAsia" w:ascii="宋体" w:hAnsi="宋体" w:eastAsia="宋体"/>
                <w:szCs w:val="21"/>
                <w:highlight w:val="none"/>
              </w:rPr>
              <w:t>未按要求提供或提供不清晰导致专家无法判断的不得分，原件备查。</w:t>
            </w:r>
          </w:p>
        </w:tc>
      </w:tr>
      <w:tr w14:paraId="639EF90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0" w:hRule="atLeast"/>
          <w:jc w:val="center"/>
        </w:trPr>
        <w:tc>
          <w:tcPr>
            <w:tcW w:w="374" w:type="pct"/>
            <w:vMerge w:val="restart"/>
            <w:tcBorders>
              <w:top w:val="single" w:color="000000" w:sz="8" w:space="0"/>
              <w:left w:val="single" w:color="000000" w:sz="8" w:space="0"/>
              <w:bottom w:val="single" w:color="000000" w:sz="8" w:space="0"/>
              <w:right w:val="single" w:color="000000" w:sz="8" w:space="0"/>
            </w:tcBorders>
            <w:noWrap w:val="0"/>
            <w:vAlign w:val="top"/>
          </w:tcPr>
          <w:p w14:paraId="0A9CFAFC">
            <w:pPr>
              <w:keepNext w:val="0"/>
              <w:keepLines w:val="0"/>
              <w:pageBreakBefore w:val="0"/>
              <w:kinsoku/>
              <w:wordWrap w:val="0"/>
              <w:overflowPunct/>
              <w:topLinePunct w:val="0"/>
              <w:bidi w:val="0"/>
              <w:spacing w:line="240" w:lineRule="auto"/>
              <w:jc w:val="center"/>
              <w:rPr>
                <w:rFonts w:hint="eastAsia" w:ascii="宋体" w:hAnsi="宋体" w:eastAsia="宋体" w:cs="宋体"/>
                <w:b/>
                <w:bCs/>
                <w:color w:val="0000FF"/>
                <w:sz w:val="22"/>
                <w:szCs w:val="22"/>
                <w:highlight w:val="none"/>
              </w:rPr>
            </w:pPr>
            <w:r>
              <w:rPr>
                <w:rFonts w:hint="eastAsia" w:ascii="宋体" w:hAnsi="宋体" w:eastAsia="宋体" w:cs="宋体"/>
                <w:b/>
                <w:bCs/>
                <w:color w:val="0000FF"/>
                <w:sz w:val="22"/>
                <w:szCs w:val="22"/>
                <w:highlight w:val="none"/>
              </w:rPr>
              <w:t>3</w:t>
            </w:r>
          </w:p>
        </w:tc>
        <w:tc>
          <w:tcPr>
            <w:tcW w:w="1942" w:type="pct"/>
            <w:gridSpan w:val="3"/>
            <w:tcBorders>
              <w:top w:val="single" w:color="000000" w:sz="8" w:space="0"/>
              <w:left w:val="single" w:color="000000" w:sz="8" w:space="0"/>
              <w:bottom w:val="single" w:color="000000" w:sz="8" w:space="0"/>
              <w:right w:val="single" w:color="000000" w:sz="8" w:space="0"/>
            </w:tcBorders>
            <w:noWrap w:val="0"/>
            <w:vAlign w:val="top"/>
          </w:tcPr>
          <w:p w14:paraId="0A95AE9B">
            <w:pPr>
              <w:keepNext w:val="0"/>
              <w:keepLines w:val="0"/>
              <w:pageBreakBefore w:val="0"/>
              <w:kinsoku/>
              <w:wordWrap w:val="0"/>
              <w:overflowPunct/>
              <w:topLinePunct w:val="0"/>
              <w:bidi w:val="0"/>
              <w:spacing w:line="240" w:lineRule="auto"/>
              <w:jc w:val="center"/>
              <w:rPr>
                <w:rFonts w:hint="eastAsia" w:ascii="宋体" w:hAnsi="宋体" w:eastAsia="宋体" w:cs="宋体"/>
                <w:b/>
                <w:bCs/>
                <w:color w:val="0000FF"/>
                <w:sz w:val="22"/>
                <w:szCs w:val="22"/>
                <w:highlight w:val="none"/>
                <w:lang w:val="en-US" w:eastAsia="zh-CN"/>
              </w:rPr>
            </w:pPr>
            <w:r>
              <w:rPr>
                <w:rFonts w:hint="eastAsia" w:ascii="宋体" w:hAnsi="宋体" w:eastAsia="宋体" w:cs="宋体"/>
                <w:b/>
                <w:bCs/>
                <w:color w:val="0000FF"/>
                <w:sz w:val="22"/>
                <w:szCs w:val="22"/>
                <w:highlight w:val="none"/>
                <w:lang w:val="en-US" w:eastAsia="zh-CN"/>
              </w:rPr>
              <w:t>技术</w:t>
            </w:r>
            <w:r>
              <w:rPr>
                <w:rFonts w:hint="eastAsia" w:ascii="宋体" w:hAnsi="宋体" w:eastAsia="宋体" w:cs="宋体"/>
                <w:b/>
                <w:bCs/>
                <w:color w:val="0000FF"/>
                <w:sz w:val="22"/>
                <w:szCs w:val="22"/>
                <w:highlight w:val="none"/>
              </w:rPr>
              <w:t>部分</w:t>
            </w:r>
          </w:p>
        </w:tc>
        <w:tc>
          <w:tcPr>
            <w:tcW w:w="2683" w:type="pct"/>
            <w:tcBorders>
              <w:top w:val="single" w:color="000000" w:sz="8" w:space="0"/>
              <w:left w:val="single" w:color="000000" w:sz="8" w:space="0"/>
              <w:bottom w:val="single" w:color="000000" w:sz="8" w:space="0"/>
              <w:right w:val="single" w:color="000000" w:sz="8" w:space="0"/>
            </w:tcBorders>
            <w:noWrap w:val="0"/>
            <w:vAlign w:val="top"/>
          </w:tcPr>
          <w:p w14:paraId="7C4A1113">
            <w:pPr>
              <w:keepNext w:val="0"/>
              <w:keepLines w:val="0"/>
              <w:pageBreakBefore w:val="0"/>
              <w:kinsoku/>
              <w:wordWrap w:val="0"/>
              <w:overflowPunct/>
              <w:topLinePunct w:val="0"/>
              <w:bidi w:val="0"/>
              <w:spacing w:line="240" w:lineRule="auto"/>
              <w:jc w:val="center"/>
              <w:rPr>
                <w:rFonts w:hint="default" w:ascii="宋体" w:hAnsi="宋体" w:eastAsia="宋体" w:cs="宋体"/>
                <w:b/>
                <w:bCs/>
                <w:color w:val="0000FF"/>
                <w:sz w:val="22"/>
                <w:szCs w:val="22"/>
                <w:highlight w:val="none"/>
                <w:lang w:eastAsia="zh-CN"/>
              </w:rPr>
            </w:pPr>
            <w:r>
              <w:rPr>
                <w:rFonts w:hint="default" w:ascii="宋体" w:hAnsi="宋体" w:cs="宋体"/>
                <w:b/>
                <w:bCs/>
                <w:color w:val="0000FF"/>
                <w:sz w:val="22"/>
                <w:szCs w:val="22"/>
                <w:highlight w:val="none"/>
                <w:lang w:eastAsia="zh-CN"/>
              </w:rPr>
              <w:t>55</w:t>
            </w:r>
          </w:p>
        </w:tc>
      </w:tr>
      <w:tr w14:paraId="2DDC493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0" w:hRule="atLeast"/>
          <w:jc w:val="center"/>
        </w:trPr>
        <w:tc>
          <w:tcPr>
            <w:tcW w:w="374" w:type="pct"/>
            <w:vMerge w:val="continue"/>
            <w:tcBorders>
              <w:top w:val="single" w:color="000000" w:sz="8" w:space="0"/>
              <w:left w:val="single" w:color="000000" w:sz="8" w:space="0"/>
              <w:bottom w:val="single" w:color="000000" w:sz="8" w:space="0"/>
              <w:right w:val="single" w:color="000000" w:sz="8" w:space="0"/>
            </w:tcBorders>
            <w:shd w:val="clear" w:color="auto" w:fill="E6EFFA"/>
            <w:noWrap w:val="0"/>
            <w:vAlign w:val="center"/>
          </w:tcPr>
          <w:p w14:paraId="7A6B22AE">
            <w:pPr>
              <w:keepNext w:val="0"/>
              <w:keepLines w:val="0"/>
              <w:pageBreakBefore w:val="0"/>
              <w:kinsoku/>
              <w:overflowPunct/>
              <w:topLinePunct w:val="0"/>
              <w:bidi w:val="0"/>
              <w:spacing w:line="240" w:lineRule="auto"/>
              <w:rPr>
                <w:rFonts w:hint="eastAsia" w:ascii="宋体" w:hAnsi="宋体" w:eastAsia="宋体" w:cs="宋体"/>
                <w:b/>
                <w:bCs/>
                <w:color w:val="0000FF"/>
                <w:sz w:val="22"/>
                <w:szCs w:val="22"/>
                <w:highlight w:val="none"/>
              </w:rPr>
            </w:pPr>
          </w:p>
        </w:tc>
        <w:tc>
          <w:tcPr>
            <w:tcW w:w="374" w:type="pct"/>
            <w:tcBorders>
              <w:top w:val="outset" w:color="000000" w:sz="6" w:space="0"/>
              <w:left w:val="outset" w:color="000000" w:sz="6" w:space="0"/>
              <w:bottom w:val="outset" w:color="000000" w:sz="6" w:space="0"/>
              <w:right w:val="outset" w:color="000000" w:sz="6" w:space="0"/>
            </w:tcBorders>
            <w:shd w:val="clear" w:color="auto" w:fill="E6EFFA"/>
            <w:noWrap w:val="0"/>
            <w:vAlign w:val="center"/>
          </w:tcPr>
          <w:p w14:paraId="504F333D">
            <w:pPr>
              <w:keepNext w:val="0"/>
              <w:keepLines w:val="0"/>
              <w:pageBreakBefore w:val="0"/>
              <w:kinsoku/>
              <w:wordWrap w:val="0"/>
              <w:overflowPunct/>
              <w:topLinePunct w:val="0"/>
              <w:bidi w:val="0"/>
              <w:spacing w:line="240" w:lineRule="auto"/>
              <w:jc w:val="center"/>
              <w:rPr>
                <w:rFonts w:hint="eastAsia" w:ascii="宋体" w:hAnsi="宋体" w:eastAsia="宋体" w:cs="宋体"/>
                <w:b/>
                <w:bCs/>
                <w:sz w:val="22"/>
                <w:szCs w:val="22"/>
                <w:highlight w:val="none"/>
              </w:rPr>
            </w:pPr>
            <w:r>
              <w:rPr>
                <w:rFonts w:hint="eastAsia" w:ascii="宋体" w:hAnsi="宋体" w:eastAsia="宋体" w:cs="宋体"/>
                <w:b/>
                <w:bCs/>
                <w:sz w:val="22"/>
                <w:szCs w:val="22"/>
                <w:highlight w:val="none"/>
              </w:rPr>
              <w:t>序号</w:t>
            </w:r>
          </w:p>
        </w:tc>
        <w:tc>
          <w:tcPr>
            <w:tcW w:w="1090" w:type="pct"/>
            <w:tcBorders>
              <w:top w:val="outset" w:color="000000" w:sz="6" w:space="0"/>
              <w:left w:val="outset" w:color="000000" w:sz="6" w:space="0"/>
              <w:bottom w:val="outset" w:color="000000" w:sz="6" w:space="0"/>
              <w:right w:val="outset" w:color="000000" w:sz="6" w:space="0"/>
            </w:tcBorders>
            <w:shd w:val="clear" w:color="auto" w:fill="E6EFFA"/>
            <w:noWrap w:val="0"/>
            <w:vAlign w:val="center"/>
          </w:tcPr>
          <w:p w14:paraId="187CC3F7">
            <w:pPr>
              <w:keepNext w:val="0"/>
              <w:keepLines w:val="0"/>
              <w:pageBreakBefore w:val="0"/>
              <w:kinsoku/>
              <w:wordWrap w:val="0"/>
              <w:overflowPunct/>
              <w:topLinePunct w:val="0"/>
              <w:bidi w:val="0"/>
              <w:spacing w:line="240" w:lineRule="auto"/>
              <w:jc w:val="center"/>
              <w:rPr>
                <w:rFonts w:hint="eastAsia" w:ascii="宋体" w:hAnsi="宋体" w:eastAsia="宋体" w:cs="宋体"/>
                <w:b/>
                <w:bCs/>
                <w:sz w:val="22"/>
                <w:szCs w:val="22"/>
                <w:highlight w:val="none"/>
              </w:rPr>
            </w:pPr>
            <w:r>
              <w:rPr>
                <w:rFonts w:hint="eastAsia" w:ascii="宋体" w:hAnsi="宋体" w:eastAsia="宋体" w:cs="宋体"/>
                <w:b/>
                <w:bCs/>
                <w:sz w:val="22"/>
                <w:szCs w:val="22"/>
                <w:highlight w:val="none"/>
              </w:rPr>
              <w:t>评分因素</w:t>
            </w:r>
          </w:p>
        </w:tc>
        <w:tc>
          <w:tcPr>
            <w:tcW w:w="477" w:type="pct"/>
            <w:tcBorders>
              <w:top w:val="outset" w:color="000000" w:sz="6" w:space="0"/>
              <w:left w:val="outset" w:color="000000" w:sz="6" w:space="0"/>
              <w:bottom w:val="outset" w:color="000000" w:sz="6" w:space="0"/>
              <w:right w:val="outset" w:color="000000" w:sz="6" w:space="0"/>
            </w:tcBorders>
            <w:shd w:val="clear" w:color="auto" w:fill="E6EFFA"/>
            <w:noWrap w:val="0"/>
            <w:vAlign w:val="center"/>
          </w:tcPr>
          <w:p w14:paraId="283B3601">
            <w:pPr>
              <w:keepNext w:val="0"/>
              <w:keepLines w:val="0"/>
              <w:pageBreakBefore w:val="0"/>
              <w:kinsoku/>
              <w:wordWrap w:val="0"/>
              <w:overflowPunct/>
              <w:topLinePunct w:val="0"/>
              <w:bidi w:val="0"/>
              <w:spacing w:line="240" w:lineRule="auto"/>
              <w:jc w:val="center"/>
              <w:rPr>
                <w:rFonts w:hint="default" w:ascii="宋体" w:hAnsi="宋体" w:eastAsia="宋体" w:cs="宋体"/>
                <w:b/>
                <w:bCs/>
                <w:sz w:val="22"/>
                <w:szCs w:val="22"/>
                <w:highlight w:val="none"/>
              </w:rPr>
            </w:pPr>
            <w:r>
              <w:rPr>
                <w:rFonts w:hint="default" w:ascii="宋体" w:hAnsi="宋体" w:cs="宋体"/>
                <w:b/>
                <w:bCs/>
                <w:sz w:val="22"/>
                <w:szCs w:val="22"/>
                <w:highlight w:val="none"/>
              </w:rPr>
              <w:t>分值</w:t>
            </w:r>
          </w:p>
        </w:tc>
        <w:tc>
          <w:tcPr>
            <w:tcW w:w="2683" w:type="pct"/>
            <w:tcBorders>
              <w:top w:val="outset" w:color="000000" w:sz="6" w:space="0"/>
              <w:left w:val="outset" w:color="000000" w:sz="6" w:space="0"/>
              <w:bottom w:val="outset" w:color="000000" w:sz="6" w:space="0"/>
              <w:right w:val="outset" w:color="000000" w:sz="6" w:space="0"/>
            </w:tcBorders>
            <w:shd w:val="clear" w:color="auto" w:fill="E6EFFA"/>
            <w:noWrap w:val="0"/>
            <w:vAlign w:val="center"/>
          </w:tcPr>
          <w:p w14:paraId="69A56171">
            <w:pPr>
              <w:keepNext w:val="0"/>
              <w:keepLines w:val="0"/>
              <w:pageBreakBefore w:val="0"/>
              <w:kinsoku/>
              <w:wordWrap w:val="0"/>
              <w:overflowPunct/>
              <w:topLinePunct w:val="0"/>
              <w:bidi w:val="0"/>
              <w:spacing w:line="240" w:lineRule="auto"/>
              <w:jc w:val="center"/>
              <w:rPr>
                <w:rFonts w:hint="eastAsia" w:ascii="宋体" w:hAnsi="宋体" w:eastAsia="宋体" w:cs="宋体"/>
                <w:b/>
                <w:bCs/>
                <w:sz w:val="22"/>
                <w:szCs w:val="22"/>
                <w:highlight w:val="none"/>
              </w:rPr>
            </w:pPr>
            <w:r>
              <w:rPr>
                <w:rFonts w:hint="eastAsia" w:ascii="宋体" w:hAnsi="宋体" w:eastAsia="宋体" w:cs="宋体"/>
                <w:b/>
                <w:bCs/>
                <w:sz w:val="22"/>
                <w:szCs w:val="22"/>
                <w:highlight w:val="none"/>
              </w:rPr>
              <w:t>评分准则</w:t>
            </w:r>
          </w:p>
        </w:tc>
      </w:tr>
      <w:tr w14:paraId="55B54DE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0" w:hRule="atLeast"/>
          <w:jc w:val="center"/>
        </w:trPr>
        <w:tc>
          <w:tcPr>
            <w:tcW w:w="374" w:type="pct"/>
            <w:vMerge w:val="continue"/>
            <w:tcBorders>
              <w:top w:val="single" w:color="000000" w:sz="8" w:space="0"/>
              <w:left w:val="single" w:color="000000" w:sz="8" w:space="0"/>
              <w:bottom w:val="single" w:color="000000" w:sz="8" w:space="0"/>
              <w:right w:val="single" w:color="000000" w:sz="8" w:space="0"/>
            </w:tcBorders>
            <w:noWrap w:val="0"/>
            <w:vAlign w:val="center"/>
          </w:tcPr>
          <w:p w14:paraId="12EAA5CB">
            <w:pPr>
              <w:keepNext w:val="0"/>
              <w:keepLines w:val="0"/>
              <w:pageBreakBefore w:val="0"/>
              <w:kinsoku/>
              <w:overflowPunct/>
              <w:topLinePunct w:val="0"/>
              <w:bidi w:val="0"/>
              <w:spacing w:line="240" w:lineRule="auto"/>
              <w:rPr>
                <w:rFonts w:hint="eastAsia" w:ascii="宋体" w:hAnsi="宋体" w:eastAsia="宋体" w:cs="宋体"/>
                <w:b/>
                <w:bCs/>
                <w:color w:val="0000FF"/>
                <w:sz w:val="22"/>
                <w:szCs w:val="22"/>
                <w:highlight w:val="none"/>
              </w:rPr>
            </w:pPr>
          </w:p>
        </w:tc>
        <w:tc>
          <w:tcPr>
            <w:tcW w:w="374" w:type="pct"/>
            <w:tcBorders>
              <w:top w:val="single" w:color="000000" w:sz="8" w:space="0"/>
              <w:left w:val="single" w:color="000000" w:sz="8" w:space="0"/>
              <w:bottom w:val="single" w:color="000000" w:sz="8" w:space="0"/>
              <w:right w:val="single" w:color="000000" w:sz="8" w:space="0"/>
            </w:tcBorders>
            <w:noWrap w:val="0"/>
            <w:vAlign w:val="top"/>
          </w:tcPr>
          <w:p w14:paraId="1DB26D4E">
            <w:pPr>
              <w:keepNext w:val="0"/>
              <w:keepLines w:val="0"/>
              <w:pageBreakBefore w:val="0"/>
              <w:kinsoku/>
              <w:wordWrap w:val="0"/>
              <w:overflowPunct/>
              <w:topLinePunct w:val="0"/>
              <w:bidi w:val="0"/>
              <w:snapToGrid/>
              <w:spacing w:line="240" w:lineRule="auto"/>
              <w:jc w:val="center"/>
              <w:rPr>
                <w:rFonts w:hint="eastAsia" w:ascii="宋体" w:hAnsi="宋体" w:eastAsia="宋体" w:cs="宋体"/>
                <w:color w:val="auto"/>
                <w:sz w:val="22"/>
                <w:szCs w:val="22"/>
                <w:highlight w:val="none"/>
                <w:lang w:eastAsia="zh-CN"/>
              </w:rPr>
            </w:pPr>
            <w:r>
              <w:rPr>
                <w:rFonts w:hint="eastAsia" w:ascii="宋体" w:hAnsi="宋体" w:eastAsia="宋体" w:cs="宋体"/>
                <w:sz w:val="22"/>
                <w:szCs w:val="22"/>
                <w:highlight w:val="none"/>
              </w:rPr>
              <w:t>1</w:t>
            </w:r>
          </w:p>
        </w:tc>
        <w:tc>
          <w:tcPr>
            <w:tcW w:w="1090" w:type="pct"/>
            <w:tcBorders>
              <w:top w:val="single" w:color="000000" w:sz="8" w:space="0"/>
              <w:left w:val="single" w:color="000000" w:sz="8" w:space="0"/>
              <w:bottom w:val="single" w:color="000000" w:sz="8" w:space="0"/>
              <w:right w:val="single" w:color="000000" w:sz="8" w:space="0"/>
            </w:tcBorders>
            <w:noWrap w:val="0"/>
            <w:vAlign w:val="top"/>
          </w:tcPr>
          <w:p w14:paraId="40F50579">
            <w:pPr>
              <w:keepNext w:val="0"/>
              <w:keepLines w:val="0"/>
              <w:pageBreakBefore w:val="0"/>
              <w:kinsoku/>
              <w:wordWrap w:val="0"/>
              <w:overflowPunct/>
              <w:topLinePunct w:val="0"/>
              <w:bidi w:val="0"/>
              <w:snapToGrid/>
              <w:spacing w:line="240" w:lineRule="auto"/>
              <w:jc w:val="center"/>
              <w:rPr>
                <w:rFonts w:hint="eastAsia" w:ascii="宋体" w:hAnsi="宋体" w:eastAsia="宋体" w:cs="宋体"/>
                <w:color w:val="auto"/>
                <w:sz w:val="22"/>
                <w:szCs w:val="22"/>
                <w:highlight w:val="none"/>
                <w:lang w:eastAsia="zh-CN"/>
              </w:rPr>
            </w:pPr>
            <w:r>
              <w:rPr>
                <w:rFonts w:hint="eastAsia" w:ascii="宋体" w:hAnsi="宋体" w:eastAsia="宋体" w:cs="宋体"/>
                <w:sz w:val="22"/>
                <w:szCs w:val="22"/>
                <w:highlight w:val="none"/>
              </w:rPr>
              <w:t>服务组织方案</w:t>
            </w:r>
          </w:p>
        </w:tc>
        <w:tc>
          <w:tcPr>
            <w:tcW w:w="477" w:type="pct"/>
            <w:tcBorders>
              <w:top w:val="single" w:color="000000" w:sz="8" w:space="0"/>
              <w:left w:val="single" w:color="000000" w:sz="8" w:space="0"/>
              <w:bottom w:val="single" w:color="000000" w:sz="8" w:space="0"/>
              <w:right w:val="single" w:color="000000" w:sz="8" w:space="0"/>
            </w:tcBorders>
            <w:noWrap w:val="0"/>
            <w:vAlign w:val="top"/>
          </w:tcPr>
          <w:p w14:paraId="20A8EBFB">
            <w:pPr>
              <w:keepNext w:val="0"/>
              <w:keepLines w:val="0"/>
              <w:pageBreakBefore w:val="0"/>
              <w:kinsoku/>
              <w:wordWrap w:val="0"/>
              <w:overflowPunct/>
              <w:topLinePunct w:val="0"/>
              <w:bidi w:val="0"/>
              <w:snapToGrid/>
              <w:spacing w:line="240" w:lineRule="auto"/>
              <w:jc w:val="center"/>
              <w:rPr>
                <w:rFonts w:hint="default" w:ascii="宋体" w:hAnsi="宋体" w:eastAsia="宋体" w:cs="宋体"/>
                <w:color w:val="auto"/>
                <w:sz w:val="22"/>
                <w:szCs w:val="22"/>
                <w:highlight w:val="none"/>
                <w:lang w:eastAsia="zh-CN"/>
              </w:rPr>
            </w:pPr>
            <w:r>
              <w:rPr>
                <w:rFonts w:hint="default" w:ascii="宋体" w:hAnsi="宋体" w:cs="宋体"/>
                <w:sz w:val="22"/>
                <w:szCs w:val="22"/>
                <w:highlight w:val="none"/>
                <w:lang w:eastAsia="zh-CN"/>
              </w:rPr>
              <w:t>6</w:t>
            </w:r>
          </w:p>
        </w:tc>
        <w:tc>
          <w:tcPr>
            <w:tcW w:w="2683" w:type="pct"/>
            <w:tcBorders>
              <w:top w:val="single" w:color="000000" w:sz="8" w:space="0"/>
              <w:left w:val="single" w:color="000000" w:sz="8" w:space="0"/>
              <w:bottom w:val="single" w:color="000000" w:sz="8" w:space="0"/>
              <w:right w:val="single" w:color="000000" w:sz="8" w:space="0"/>
            </w:tcBorders>
            <w:noWrap w:val="0"/>
            <w:vAlign w:val="top"/>
          </w:tcPr>
          <w:p w14:paraId="45F47295">
            <w:pPr>
              <w:jc w:val="both"/>
              <w:rPr>
                <w:rFonts w:hint="eastAsia" w:ascii="宋体" w:hAnsi="宋体" w:eastAsia="宋体"/>
                <w:b/>
                <w:bCs/>
                <w:szCs w:val="21"/>
                <w:highlight w:val="none"/>
              </w:rPr>
            </w:pPr>
            <w:r>
              <w:rPr>
                <w:rFonts w:hint="eastAsia" w:ascii="宋体" w:hAnsi="宋体" w:eastAsia="宋体"/>
                <w:b/>
                <w:bCs/>
                <w:szCs w:val="21"/>
                <w:highlight w:val="none"/>
              </w:rPr>
              <w:t>（一）评审内容：</w:t>
            </w:r>
          </w:p>
          <w:p w14:paraId="143918E2">
            <w:pPr>
              <w:jc w:val="both"/>
              <w:rPr>
                <w:rFonts w:hint="eastAsia" w:ascii="宋体" w:hAnsi="宋体" w:eastAsia="宋体"/>
                <w:szCs w:val="21"/>
                <w:highlight w:val="none"/>
              </w:rPr>
            </w:pPr>
            <w:r>
              <w:rPr>
                <w:rFonts w:hint="eastAsia" w:ascii="宋体" w:hAnsi="宋体" w:eastAsia="宋体"/>
                <w:szCs w:val="21"/>
                <w:highlight w:val="none"/>
              </w:rPr>
              <w:t>根据投标文件中对本项目所提供的服务方案，包括但不限于以下内容：</w:t>
            </w:r>
          </w:p>
          <w:p w14:paraId="67FC0DC4">
            <w:pPr>
              <w:jc w:val="both"/>
              <w:rPr>
                <w:rFonts w:hint="eastAsia" w:ascii="宋体" w:hAnsi="宋体" w:eastAsia="宋体"/>
                <w:szCs w:val="21"/>
                <w:highlight w:val="none"/>
              </w:rPr>
            </w:pPr>
            <w:r>
              <w:rPr>
                <w:rFonts w:hint="eastAsia" w:ascii="宋体" w:hAnsi="宋体" w:eastAsia="宋体"/>
                <w:szCs w:val="21"/>
                <w:highlight w:val="none"/>
              </w:rPr>
              <w:t>①对项目的理解分析；</w:t>
            </w:r>
          </w:p>
          <w:p w14:paraId="40F6922B">
            <w:pPr>
              <w:jc w:val="both"/>
              <w:rPr>
                <w:rFonts w:hint="eastAsia" w:ascii="宋体" w:hAnsi="宋体" w:eastAsia="宋体"/>
                <w:szCs w:val="21"/>
                <w:highlight w:val="none"/>
              </w:rPr>
            </w:pPr>
            <w:r>
              <w:rPr>
                <w:rFonts w:hint="eastAsia" w:ascii="宋体" w:hAnsi="宋体" w:eastAsia="宋体"/>
                <w:szCs w:val="21"/>
                <w:highlight w:val="none"/>
              </w:rPr>
              <w:t>②菜品种类的丰富多样、营养均衡；</w:t>
            </w:r>
          </w:p>
          <w:p w14:paraId="18042C82">
            <w:pPr>
              <w:jc w:val="both"/>
              <w:rPr>
                <w:rFonts w:hint="eastAsia" w:ascii="宋体" w:hAnsi="宋体" w:eastAsia="宋体"/>
                <w:szCs w:val="21"/>
                <w:highlight w:val="none"/>
              </w:rPr>
            </w:pPr>
            <w:r>
              <w:rPr>
                <w:rFonts w:hint="eastAsia" w:ascii="宋体" w:hAnsi="宋体" w:eastAsia="宋体"/>
                <w:szCs w:val="21"/>
                <w:highlight w:val="none"/>
              </w:rPr>
              <w:t>③管理模式、员工培训、定期体检计划；</w:t>
            </w:r>
          </w:p>
          <w:p w14:paraId="571E5F8A">
            <w:pPr>
              <w:jc w:val="both"/>
              <w:rPr>
                <w:rFonts w:hint="eastAsia" w:ascii="宋体" w:hAnsi="宋体" w:eastAsia="宋体"/>
                <w:szCs w:val="21"/>
                <w:highlight w:val="none"/>
              </w:rPr>
            </w:pPr>
            <w:r>
              <w:rPr>
                <w:rFonts w:hint="eastAsia" w:ascii="宋体" w:hAnsi="宋体" w:eastAsia="宋体"/>
                <w:szCs w:val="21"/>
                <w:highlight w:val="none"/>
              </w:rPr>
              <w:t>④食堂设施设备安全控制措施等内容；</w:t>
            </w:r>
          </w:p>
          <w:p w14:paraId="4A27960B">
            <w:pPr>
              <w:jc w:val="both"/>
              <w:rPr>
                <w:rFonts w:hint="eastAsia" w:ascii="宋体" w:hAnsi="宋体" w:eastAsia="宋体"/>
                <w:b/>
                <w:bCs/>
                <w:szCs w:val="21"/>
                <w:highlight w:val="none"/>
              </w:rPr>
            </w:pPr>
            <w:r>
              <w:rPr>
                <w:rFonts w:hint="eastAsia" w:ascii="宋体" w:hAnsi="宋体" w:eastAsia="宋体"/>
                <w:b/>
                <w:bCs/>
                <w:szCs w:val="21"/>
                <w:highlight w:val="none"/>
                <w:lang w:val="en-US" w:eastAsia="zh-CN"/>
              </w:rPr>
              <w:t>（二）</w:t>
            </w:r>
            <w:r>
              <w:rPr>
                <w:rFonts w:hint="eastAsia" w:ascii="宋体" w:hAnsi="宋体" w:eastAsia="宋体"/>
                <w:b/>
                <w:bCs/>
                <w:szCs w:val="21"/>
                <w:highlight w:val="none"/>
              </w:rPr>
              <w:t>评审依据：</w:t>
            </w:r>
          </w:p>
          <w:p w14:paraId="3347CC1A">
            <w:pPr>
              <w:jc w:val="both"/>
              <w:rPr>
                <w:rFonts w:hint="eastAsia" w:ascii="宋体" w:hAnsi="宋体" w:eastAsia="宋体"/>
                <w:szCs w:val="21"/>
                <w:highlight w:val="none"/>
              </w:rPr>
            </w:pPr>
            <w:r>
              <w:rPr>
                <w:rFonts w:hint="eastAsia" w:ascii="宋体" w:hAnsi="宋体" w:eastAsia="宋体"/>
                <w:szCs w:val="21"/>
                <w:highlight w:val="none"/>
                <w:lang w:val="en-US" w:eastAsia="zh-CN"/>
              </w:rPr>
              <w:t>1.</w:t>
            </w:r>
            <w:r>
              <w:rPr>
                <w:rFonts w:hint="eastAsia" w:ascii="宋体" w:hAnsi="宋体" w:eastAsia="宋体"/>
                <w:szCs w:val="21"/>
                <w:highlight w:val="none"/>
              </w:rPr>
              <w:t>提供的内容满足上述要求的得</w:t>
            </w:r>
            <w:r>
              <w:rPr>
                <w:rFonts w:hint="eastAsia" w:ascii="宋体" w:hAnsi="宋体" w:eastAsia="宋体"/>
                <w:szCs w:val="21"/>
                <w:highlight w:val="none"/>
                <w:lang w:val="en-US" w:eastAsia="zh-CN"/>
              </w:rPr>
              <w:t>3分</w:t>
            </w:r>
            <w:r>
              <w:rPr>
                <w:rFonts w:hint="eastAsia" w:ascii="宋体" w:hAnsi="宋体" w:eastAsia="宋体"/>
                <w:szCs w:val="21"/>
                <w:highlight w:val="none"/>
              </w:rPr>
              <w:t>，每缺一</w:t>
            </w:r>
            <w:r>
              <w:rPr>
                <w:rFonts w:hint="eastAsia" w:ascii="宋体" w:hAnsi="宋体"/>
                <w:szCs w:val="21"/>
                <w:highlight w:val="none"/>
                <w:lang w:eastAsia="zh-CN"/>
              </w:rPr>
              <w:t>项</w:t>
            </w:r>
            <w:r>
              <w:rPr>
                <w:rFonts w:hint="eastAsia" w:ascii="宋体" w:hAnsi="宋体" w:eastAsia="宋体"/>
                <w:szCs w:val="21"/>
                <w:highlight w:val="none"/>
              </w:rPr>
              <w:t>内容扣</w:t>
            </w:r>
            <w:r>
              <w:rPr>
                <w:rFonts w:hint="eastAsia" w:ascii="宋体" w:hAnsi="宋体" w:eastAsia="宋体"/>
                <w:szCs w:val="21"/>
                <w:highlight w:val="none"/>
                <w:lang w:val="en-US" w:eastAsia="zh-CN"/>
              </w:rPr>
              <w:t>1分</w:t>
            </w:r>
            <w:r>
              <w:rPr>
                <w:rFonts w:hint="eastAsia" w:ascii="宋体" w:hAnsi="宋体" w:eastAsia="宋体"/>
                <w:szCs w:val="21"/>
                <w:highlight w:val="none"/>
              </w:rPr>
              <w:t>，扣完为止。</w:t>
            </w:r>
          </w:p>
          <w:p w14:paraId="78A0B706">
            <w:pPr>
              <w:jc w:val="both"/>
              <w:rPr>
                <w:rFonts w:hint="eastAsia" w:ascii="宋体" w:hAnsi="宋体" w:eastAsia="宋体"/>
                <w:szCs w:val="21"/>
                <w:highlight w:val="none"/>
              </w:rPr>
            </w:pPr>
            <w:r>
              <w:rPr>
                <w:rFonts w:hint="eastAsia" w:ascii="宋体" w:hAnsi="宋体" w:eastAsia="宋体"/>
                <w:szCs w:val="21"/>
                <w:highlight w:val="none"/>
                <w:lang w:val="en-US" w:eastAsia="zh-CN"/>
              </w:rPr>
              <w:t>2.</w:t>
            </w:r>
            <w:r>
              <w:rPr>
                <w:rFonts w:hint="eastAsia" w:ascii="宋体" w:hAnsi="宋体" w:eastAsia="宋体"/>
                <w:szCs w:val="21"/>
                <w:highlight w:val="none"/>
              </w:rPr>
              <w:t>在此基础上，由评审委员会对具体响应内容合理性等进行评分：</w:t>
            </w:r>
          </w:p>
          <w:p w14:paraId="38DBF9D6">
            <w:pPr>
              <w:jc w:val="both"/>
              <w:rPr>
                <w:rFonts w:hint="eastAsia" w:ascii="宋体" w:hAnsi="宋体" w:eastAsia="宋体"/>
                <w:szCs w:val="21"/>
                <w:highlight w:val="none"/>
              </w:rPr>
            </w:pPr>
            <w:r>
              <w:rPr>
                <w:rFonts w:hint="eastAsia" w:ascii="宋体" w:hAnsi="宋体" w:eastAsia="宋体"/>
                <w:szCs w:val="21"/>
                <w:highlight w:val="none"/>
              </w:rPr>
              <w:t>①方案内容全面，菜品种类丰富、搭配均衡，管理模式先进，员工管理完善，安全管理到位的，得</w:t>
            </w:r>
            <w:r>
              <w:rPr>
                <w:rFonts w:hint="default" w:ascii="宋体" w:hAnsi="宋体" w:eastAsia="宋体"/>
                <w:szCs w:val="21"/>
                <w:highlight w:val="none"/>
                <w:lang w:eastAsia="zh-CN"/>
              </w:rPr>
              <w:t>3</w:t>
            </w:r>
            <w:r>
              <w:rPr>
                <w:rFonts w:hint="eastAsia" w:ascii="宋体" w:hAnsi="宋体" w:eastAsia="宋体"/>
                <w:szCs w:val="21"/>
                <w:highlight w:val="none"/>
                <w:lang w:val="en-US" w:eastAsia="zh-CN"/>
              </w:rPr>
              <w:t>分</w:t>
            </w:r>
            <w:r>
              <w:rPr>
                <w:rFonts w:hint="eastAsia" w:ascii="宋体" w:hAnsi="宋体" w:eastAsia="宋体"/>
                <w:szCs w:val="21"/>
                <w:highlight w:val="none"/>
              </w:rPr>
              <w:t>；</w:t>
            </w:r>
          </w:p>
          <w:p w14:paraId="6E093055">
            <w:pPr>
              <w:jc w:val="both"/>
              <w:rPr>
                <w:rFonts w:hint="eastAsia" w:ascii="宋体" w:hAnsi="宋体" w:eastAsia="宋体"/>
                <w:szCs w:val="21"/>
                <w:highlight w:val="none"/>
              </w:rPr>
            </w:pPr>
            <w:r>
              <w:rPr>
                <w:rFonts w:hint="eastAsia" w:ascii="宋体" w:hAnsi="宋体" w:eastAsia="宋体"/>
                <w:szCs w:val="21"/>
                <w:highlight w:val="none"/>
              </w:rPr>
              <w:t>②方案内容较全面，菜品种类较丰富、搭配较均衡，管理模式较先进，员工管理较完善，安全管理较到位的，得</w:t>
            </w:r>
            <w:r>
              <w:rPr>
                <w:rFonts w:hint="eastAsia" w:ascii="宋体" w:hAnsi="宋体" w:eastAsia="宋体"/>
                <w:szCs w:val="21"/>
                <w:highlight w:val="none"/>
                <w:lang w:val="en-US" w:eastAsia="zh-CN"/>
              </w:rPr>
              <w:t>2分</w:t>
            </w:r>
            <w:r>
              <w:rPr>
                <w:rFonts w:hint="eastAsia" w:ascii="宋体" w:hAnsi="宋体" w:eastAsia="宋体"/>
                <w:szCs w:val="21"/>
                <w:highlight w:val="none"/>
              </w:rPr>
              <w:t>；</w:t>
            </w:r>
          </w:p>
          <w:p w14:paraId="3D053ED7">
            <w:pPr>
              <w:jc w:val="both"/>
              <w:rPr>
                <w:rFonts w:hint="eastAsia" w:ascii="宋体" w:hAnsi="宋体" w:eastAsia="宋体"/>
                <w:szCs w:val="21"/>
                <w:highlight w:val="none"/>
              </w:rPr>
            </w:pPr>
            <w:r>
              <w:rPr>
                <w:rFonts w:hint="eastAsia" w:ascii="宋体" w:hAnsi="宋体" w:eastAsia="宋体"/>
                <w:szCs w:val="21"/>
                <w:highlight w:val="none"/>
              </w:rPr>
              <w:t>③方案内容基本全面，菜品种类基本丰富、搭配基本均衡，管理模式可行，员工管理基本完善，安全管理基本到位的，得</w:t>
            </w:r>
            <w:r>
              <w:rPr>
                <w:rFonts w:hint="eastAsia" w:ascii="宋体" w:hAnsi="宋体" w:eastAsia="宋体"/>
                <w:szCs w:val="21"/>
                <w:highlight w:val="none"/>
                <w:lang w:val="en-US" w:eastAsia="zh-CN"/>
              </w:rPr>
              <w:t>1分</w:t>
            </w:r>
            <w:r>
              <w:rPr>
                <w:rFonts w:hint="eastAsia" w:ascii="宋体" w:hAnsi="宋体" w:eastAsia="宋体"/>
                <w:szCs w:val="21"/>
                <w:highlight w:val="none"/>
              </w:rPr>
              <w:t>；</w:t>
            </w:r>
          </w:p>
          <w:p w14:paraId="6D7ADB67">
            <w:pPr>
              <w:jc w:val="both"/>
              <w:rPr>
                <w:rFonts w:hint="eastAsia" w:ascii="宋体" w:hAnsi="宋体" w:eastAsia="宋体"/>
                <w:szCs w:val="21"/>
                <w:highlight w:val="none"/>
                <w:lang w:eastAsia="zh-CN"/>
              </w:rPr>
            </w:pPr>
            <w:r>
              <w:rPr>
                <w:rFonts w:hint="eastAsia" w:ascii="宋体" w:hAnsi="宋体" w:eastAsia="宋体"/>
                <w:szCs w:val="21"/>
                <w:highlight w:val="none"/>
              </w:rPr>
              <w:t>④未按要求提供方案或提供不清晰导致专家无法判断的不得分。</w:t>
            </w:r>
          </w:p>
        </w:tc>
      </w:tr>
      <w:tr w14:paraId="13A745F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0" w:hRule="atLeast"/>
          <w:jc w:val="center"/>
        </w:trPr>
        <w:tc>
          <w:tcPr>
            <w:tcW w:w="374" w:type="pct"/>
            <w:vMerge w:val="continue"/>
            <w:tcBorders>
              <w:top w:val="single" w:color="000000" w:sz="8" w:space="0"/>
              <w:left w:val="single" w:color="000000" w:sz="8" w:space="0"/>
              <w:bottom w:val="single" w:color="000000" w:sz="8" w:space="0"/>
              <w:right w:val="single" w:color="000000" w:sz="8" w:space="0"/>
            </w:tcBorders>
            <w:noWrap w:val="0"/>
            <w:vAlign w:val="center"/>
          </w:tcPr>
          <w:p w14:paraId="1D8DED6C">
            <w:pPr>
              <w:keepNext w:val="0"/>
              <w:keepLines w:val="0"/>
              <w:pageBreakBefore w:val="0"/>
              <w:kinsoku/>
              <w:overflowPunct/>
              <w:topLinePunct w:val="0"/>
              <w:bidi w:val="0"/>
              <w:spacing w:line="240" w:lineRule="auto"/>
              <w:rPr>
                <w:rFonts w:hint="eastAsia" w:ascii="宋体" w:hAnsi="宋体" w:eastAsia="宋体" w:cs="宋体"/>
                <w:b/>
                <w:bCs/>
                <w:color w:val="0000FF"/>
                <w:sz w:val="22"/>
                <w:szCs w:val="22"/>
                <w:highlight w:val="none"/>
              </w:rPr>
            </w:pPr>
          </w:p>
        </w:tc>
        <w:tc>
          <w:tcPr>
            <w:tcW w:w="374" w:type="pct"/>
            <w:tcBorders>
              <w:top w:val="single" w:color="000000" w:sz="8" w:space="0"/>
              <w:left w:val="single" w:color="000000" w:sz="8" w:space="0"/>
              <w:bottom w:val="single" w:color="000000" w:sz="8" w:space="0"/>
              <w:right w:val="single" w:color="000000" w:sz="8" w:space="0"/>
            </w:tcBorders>
            <w:noWrap w:val="0"/>
            <w:vAlign w:val="top"/>
          </w:tcPr>
          <w:p w14:paraId="76EEA545">
            <w:pPr>
              <w:keepNext w:val="0"/>
              <w:keepLines w:val="0"/>
              <w:pageBreakBefore w:val="0"/>
              <w:kinsoku/>
              <w:wordWrap w:val="0"/>
              <w:overflowPunct/>
              <w:topLinePunct w:val="0"/>
              <w:bidi w:val="0"/>
              <w:snapToGrid/>
              <w:spacing w:line="240" w:lineRule="auto"/>
              <w:jc w:val="center"/>
              <w:rPr>
                <w:rFonts w:hint="eastAsia" w:ascii="宋体" w:hAnsi="宋体" w:eastAsia="宋体" w:cs="宋体"/>
                <w:color w:val="auto"/>
                <w:sz w:val="22"/>
                <w:szCs w:val="22"/>
                <w:highlight w:val="none"/>
              </w:rPr>
            </w:pPr>
            <w:r>
              <w:rPr>
                <w:rFonts w:hint="eastAsia" w:ascii="宋体" w:hAnsi="宋体" w:eastAsia="宋体" w:cs="宋体"/>
                <w:sz w:val="22"/>
                <w:szCs w:val="22"/>
                <w:highlight w:val="none"/>
              </w:rPr>
              <w:t>2</w:t>
            </w:r>
          </w:p>
        </w:tc>
        <w:tc>
          <w:tcPr>
            <w:tcW w:w="1090" w:type="pct"/>
            <w:tcBorders>
              <w:top w:val="single" w:color="000000" w:sz="8" w:space="0"/>
              <w:left w:val="single" w:color="000000" w:sz="8" w:space="0"/>
              <w:bottom w:val="single" w:color="000000" w:sz="8" w:space="0"/>
              <w:right w:val="single" w:color="000000" w:sz="8" w:space="0"/>
            </w:tcBorders>
            <w:noWrap w:val="0"/>
            <w:vAlign w:val="top"/>
          </w:tcPr>
          <w:p w14:paraId="17414FC4">
            <w:pPr>
              <w:keepNext w:val="0"/>
              <w:keepLines w:val="0"/>
              <w:pageBreakBefore w:val="0"/>
              <w:kinsoku/>
              <w:wordWrap w:val="0"/>
              <w:overflowPunct/>
              <w:topLinePunct w:val="0"/>
              <w:bidi w:val="0"/>
              <w:snapToGrid/>
              <w:spacing w:line="240" w:lineRule="auto"/>
              <w:jc w:val="center"/>
              <w:rPr>
                <w:rFonts w:hint="eastAsia" w:ascii="宋体" w:hAnsi="宋体" w:eastAsia="宋体" w:cs="宋体"/>
                <w:color w:val="auto"/>
                <w:sz w:val="22"/>
                <w:szCs w:val="22"/>
                <w:highlight w:val="none"/>
              </w:rPr>
            </w:pPr>
            <w:r>
              <w:rPr>
                <w:rFonts w:hint="eastAsia" w:ascii="宋体" w:hAnsi="宋体" w:eastAsia="宋体" w:cs="宋体"/>
                <w:sz w:val="22"/>
                <w:szCs w:val="22"/>
                <w:highlight w:val="none"/>
              </w:rPr>
              <w:t>服务质量保证措施</w:t>
            </w:r>
          </w:p>
        </w:tc>
        <w:tc>
          <w:tcPr>
            <w:tcW w:w="477" w:type="pct"/>
            <w:tcBorders>
              <w:top w:val="single" w:color="000000" w:sz="8" w:space="0"/>
              <w:left w:val="single" w:color="000000" w:sz="8" w:space="0"/>
              <w:bottom w:val="single" w:color="000000" w:sz="8" w:space="0"/>
              <w:right w:val="single" w:color="000000" w:sz="8" w:space="0"/>
            </w:tcBorders>
            <w:noWrap w:val="0"/>
            <w:vAlign w:val="top"/>
          </w:tcPr>
          <w:p w14:paraId="0558F6E1">
            <w:pPr>
              <w:keepNext w:val="0"/>
              <w:keepLines w:val="0"/>
              <w:pageBreakBefore w:val="0"/>
              <w:kinsoku/>
              <w:wordWrap w:val="0"/>
              <w:overflowPunct/>
              <w:topLinePunct w:val="0"/>
              <w:bidi w:val="0"/>
              <w:snapToGrid/>
              <w:spacing w:line="240" w:lineRule="auto"/>
              <w:jc w:val="center"/>
              <w:rPr>
                <w:rFonts w:hint="default" w:ascii="宋体" w:hAnsi="宋体" w:eastAsia="宋体" w:cs="宋体"/>
                <w:color w:val="auto"/>
                <w:sz w:val="22"/>
                <w:szCs w:val="22"/>
                <w:highlight w:val="none"/>
              </w:rPr>
            </w:pPr>
            <w:r>
              <w:rPr>
                <w:rFonts w:hint="default" w:ascii="宋体" w:hAnsi="宋体" w:cs="宋体"/>
                <w:sz w:val="22"/>
                <w:szCs w:val="22"/>
                <w:highlight w:val="none"/>
                <w:lang w:eastAsia="zh-CN"/>
              </w:rPr>
              <w:t>4</w:t>
            </w:r>
          </w:p>
        </w:tc>
        <w:tc>
          <w:tcPr>
            <w:tcW w:w="2683" w:type="pct"/>
            <w:tcBorders>
              <w:top w:val="single" w:color="000000" w:sz="8" w:space="0"/>
              <w:left w:val="single" w:color="000000" w:sz="8" w:space="0"/>
              <w:bottom w:val="single" w:color="000000" w:sz="8" w:space="0"/>
              <w:right w:val="single" w:color="000000" w:sz="8" w:space="0"/>
            </w:tcBorders>
            <w:noWrap w:val="0"/>
            <w:vAlign w:val="top"/>
          </w:tcPr>
          <w:p w14:paraId="18F510B1">
            <w:pPr>
              <w:jc w:val="both"/>
              <w:rPr>
                <w:rFonts w:hint="eastAsia" w:ascii="宋体" w:hAnsi="宋体" w:eastAsia="宋体"/>
                <w:b/>
                <w:bCs/>
                <w:szCs w:val="21"/>
                <w:highlight w:val="none"/>
              </w:rPr>
            </w:pPr>
            <w:r>
              <w:rPr>
                <w:rFonts w:hint="eastAsia" w:ascii="宋体" w:hAnsi="宋体" w:eastAsia="宋体"/>
                <w:b/>
                <w:bCs/>
                <w:szCs w:val="21"/>
                <w:highlight w:val="none"/>
              </w:rPr>
              <w:t>（一）评审内容：</w:t>
            </w:r>
          </w:p>
          <w:p w14:paraId="0A9A80CA">
            <w:pPr>
              <w:jc w:val="both"/>
              <w:rPr>
                <w:rFonts w:hint="eastAsia" w:ascii="宋体" w:hAnsi="宋体" w:eastAsia="宋体"/>
                <w:szCs w:val="21"/>
                <w:highlight w:val="none"/>
              </w:rPr>
            </w:pPr>
            <w:r>
              <w:rPr>
                <w:rFonts w:hint="eastAsia" w:ascii="宋体" w:hAnsi="宋体" w:eastAsia="宋体"/>
                <w:szCs w:val="21"/>
                <w:highlight w:val="none"/>
              </w:rPr>
              <w:t>根据投标文件中对本项目做出的服务质量保证措施，包括但不限于以下内容：</w:t>
            </w:r>
          </w:p>
          <w:p w14:paraId="3ED68B59">
            <w:pPr>
              <w:jc w:val="both"/>
              <w:rPr>
                <w:rFonts w:hint="eastAsia" w:ascii="宋体" w:hAnsi="宋体" w:eastAsia="宋体"/>
                <w:szCs w:val="21"/>
                <w:highlight w:val="none"/>
              </w:rPr>
            </w:pPr>
            <w:r>
              <w:rPr>
                <w:rFonts w:hint="eastAsia" w:ascii="宋体" w:hAnsi="宋体" w:eastAsia="宋体"/>
                <w:szCs w:val="21"/>
                <w:highlight w:val="none"/>
              </w:rPr>
              <w:t>①完成时间、安全管理、环保等方面；</w:t>
            </w:r>
          </w:p>
          <w:p w14:paraId="0F492476">
            <w:pPr>
              <w:jc w:val="both"/>
              <w:rPr>
                <w:rFonts w:hint="eastAsia" w:ascii="宋体" w:hAnsi="宋体" w:eastAsia="宋体"/>
                <w:szCs w:val="21"/>
                <w:highlight w:val="none"/>
              </w:rPr>
            </w:pPr>
            <w:r>
              <w:rPr>
                <w:rFonts w:hint="eastAsia" w:ascii="宋体" w:hAnsi="宋体" w:eastAsia="宋体"/>
                <w:szCs w:val="21"/>
                <w:highlight w:val="none"/>
              </w:rPr>
              <w:t>②原材料的验收标准；</w:t>
            </w:r>
          </w:p>
          <w:p w14:paraId="02C0B3D6">
            <w:pPr>
              <w:jc w:val="both"/>
              <w:rPr>
                <w:rFonts w:hint="eastAsia" w:ascii="宋体" w:hAnsi="宋体" w:eastAsia="宋体"/>
                <w:szCs w:val="21"/>
                <w:highlight w:val="none"/>
              </w:rPr>
            </w:pPr>
            <w:r>
              <w:rPr>
                <w:rFonts w:hint="eastAsia" w:ascii="宋体" w:hAnsi="宋体" w:eastAsia="宋体"/>
                <w:szCs w:val="21"/>
                <w:highlight w:val="none"/>
              </w:rPr>
              <w:t>③菜品加工流程；</w:t>
            </w:r>
          </w:p>
          <w:p w14:paraId="1A32D796">
            <w:pPr>
              <w:jc w:val="both"/>
              <w:rPr>
                <w:rFonts w:hint="eastAsia" w:ascii="宋体" w:hAnsi="宋体" w:eastAsia="宋体"/>
                <w:szCs w:val="21"/>
                <w:highlight w:val="none"/>
              </w:rPr>
            </w:pPr>
            <w:r>
              <w:rPr>
                <w:rFonts w:hint="eastAsia" w:ascii="宋体" w:hAnsi="宋体" w:eastAsia="宋体"/>
                <w:szCs w:val="21"/>
                <w:highlight w:val="none"/>
              </w:rPr>
              <w:t>④成品检验等工作内容</w:t>
            </w:r>
            <w:r>
              <w:rPr>
                <w:rFonts w:hint="eastAsia" w:ascii="宋体" w:hAnsi="宋体"/>
                <w:szCs w:val="21"/>
                <w:highlight w:val="none"/>
                <w:lang w:eastAsia="zh-CN"/>
              </w:rPr>
              <w:t>。</w:t>
            </w:r>
          </w:p>
          <w:p w14:paraId="106CF449">
            <w:pPr>
              <w:jc w:val="both"/>
              <w:rPr>
                <w:rFonts w:hint="eastAsia" w:ascii="宋体" w:hAnsi="宋体" w:eastAsia="宋体"/>
                <w:b/>
                <w:bCs/>
                <w:szCs w:val="21"/>
                <w:highlight w:val="none"/>
              </w:rPr>
            </w:pPr>
            <w:r>
              <w:rPr>
                <w:rFonts w:hint="eastAsia" w:ascii="宋体" w:hAnsi="宋体" w:eastAsia="宋体"/>
                <w:b/>
                <w:bCs/>
                <w:szCs w:val="21"/>
                <w:highlight w:val="none"/>
                <w:lang w:val="en-US" w:eastAsia="zh-CN"/>
              </w:rPr>
              <w:t>（二）</w:t>
            </w:r>
            <w:r>
              <w:rPr>
                <w:rFonts w:hint="eastAsia" w:ascii="宋体" w:hAnsi="宋体" w:eastAsia="宋体"/>
                <w:b/>
                <w:bCs/>
                <w:szCs w:val="21"/>
                <w:highlight w:val="none"/>
              </w:rPr>
              <w:t>评审依据：</w:t>
            </w:r>
          </w:p>
          <w:p w14:paraId="26233E6A">
            <w:pPr>
              <w:jc w:val="both"/>
              <w:rPr>
                <w:rFonts w:hint="eastAsia" w:ascii="宋体" w:hAnsi="宋体" w:eastAsia="宋体"/>
                <w:szCs w:val="21"/>
                <w:highlight w:val="none"/>
              </w:rPr>
            </w:pPr>
            <w:r>
              <w:rPr>
                <w:rFonts w:hint="eastAsia" w:ascii="宋体" w:hAnsi="宋体" w:eastAsia="宋体"/>
                <w:szCs w:val="21"/>
                <w:highlight w:val="none"/>
                <w:lang w:val="en-US" w:eastAsia="zh-CN"/>
              </w:rPr>
              <w:t>1.</w:t>
            </w:r>
            <w:r>
              <w:rPr>
                <w:rFonts w:hint="eastAsia" w:ascii="宋体" w:hAnsi="宋体" w:eastAsia="宋体"/>
                <w:szCs w:val="21"/>
                <w:highlight w:val="none"/>
              </w:rPr>
              <w:t>提供的内容满足上述要求的得</w:t>
            </w:r>
            <w:r>
              <w:rPr>
                <w:rFonts w:hint="default" w:ascii="宋体" w:hAnsi="宋体" w:eastAsia="宋体"/>
                <w:szCs w:val="21"/>
                <w:highlight w:val="none"/>
                <w:lang w:eastAsia="zh-CN"/>
              </w:rPr>
              <w:t>2</w:t>
            </w:r>
            <w:r>
              <w:rPr>
                <w:rFonts w:hint="eastAsia" w:ascii="宋体" w:hAnsi="宋体" w:eastAsia="宋体"/>
                <w:szCs w:val="21"/>
                <w:highlight w:val="none"/>
              </w:rPr>
              <w:t>分，每缺一</w:t>
            </w:r>
            <w:r>
              <w:rPr>
                <w:rFonts w:hint="eastAsia" w:ascii="宋体" w:hAnsi="宋体"/>
                <w:szCs w:val="21"/>
                <w:highlight w:val="none"/>
                <w:lang w:eastAsia="zh-CN"/>
              </w:rPr>
              <w:t>项</w:t>
            </w:r>
            <w:r>
              <w:rPr>
                <w:rFonts w:hint="eastAsia" w:ascii="宋体" w:hAnsi="宋体" w:eastAsia="宋体"/>
                <w:szCs w:val="21"/>
                <w:highlight w:val="none"/>
              </w:rPr>
              <w:t>内容扣</w:t>
            </w:r>
            <w:r>
              <w:rPr>
                <w:rFonts w:hint="default" w:ascii="宋体" w:hAnsi="宋体" w:eastAsia="宋体"/>
                <w:szCs w:val="21"/>
                <w:highlight w:val="none"/>
                <w:lang w:eastAsia="zh-CN"/>
              </w:rPr>
              <w:t>0.5</w:t>
            </w:r>
            <w:r>
              <w:rPr>
                <w:rFonts w:hint="eastAsia" w:ascii="宋体" w:hAnsi="宋体" w:eastAsia="宋体"/>
                <w:szCs w:val="21"/>
                <w:highlight w:val="none"/>
              </w:rPr>
              <w:t>分，扣完为止。</w:t>
            </w:r>
          </w:p>
          <w:p w14:paraId="2A2B6BE4">
            <w:pPr>
              <w:jc w:val="both"/>
              <w:rPr>
                <w:rFonts w:hint="eastAsia" w:ascii="宋体" w:hAnsi="宋体" w:eastAsia="宋体"/>
                <w:szCs w:val="21"/>
                <w:highlight w:val="none"/>
              </w:rPr>
            </w:pPr>
            <w:r>
              <w:rPr>
                <w:rFonts w:hint="eastAsia" w:ascii="宋体" w:hAnsi="宋体" w:eastAsia="宋体"/>
                <w:szCs w:val="21"/>
                <w:highlight w:val="none"/>
                <w:lang w:val="en-US" w:eastAsia="zh-CN"/>
              </w:rPr>
              <w:t>2.</w:t>
            </w:r>
            <w:r>
              <w:rPr>
                <w:rFonts w:hint="eastAsia" w:ascii="宋体" w:hAnsi="宋体" w:eastAsia="宋体"/>
                <w:szCs w:val="21"/>
                <w:highlight w:val="none"/>
              </w:rPr>
              <w:t>在此基础上，由评审委员会对具体响应内容合理性等进行评分：</w:t>
            </w:r>
          </w:p>
          <w:p w14:paraId="25697918">
            <w:pPr>
              <w:jc w:val="both"/>
              <w:rPr>
                <w:rFonts w:hint="eastAsia" w:ascii="宋体" w:hAnsi="宋体" w:eastAsia="宋体"/>
                <w:szCs w:val="21"/>
                <w:highlight w:val="none"/>
              </w:rPr>
            </w:pPr>
            <w:r>
              <w:rPr>
                <w:rFonts w:hint="eastAsia" w:ascii="宋体" w:hAnsi="宋体" w:eastAsia="宋体"/>
                <w:szCs w:val="21"/>
                <w:highlight w:val="none"/>
              </w:rPr>
              <w:t>①方案安全合理，切实可行，得</w:t>
            </w:r>
            <w:r>
              <w:rPr>
                <w:rFonts w:hint="default" w:ascii="宋体" w:hAnsi="宋体" w:eastAsia="宋体"/>
                <w:szCs w:val="21"/>
                <w:highlight w:val="none"/>
                <w:lang w:eastAsia="zh-CN"/>
              </w:rPr>
              <w:t>2</w:t>
            </w:r>
            <w:r>
              <w:rPr>
                <w:rFonts w:hint="eastAsia" w:ascii="宋体" w:hAnsi="宋体" w:eastAsia="宋体"/>
                <w:szCs w:val="21"/>
                <w:highlight w:val="none"/>
                <w:lang w:val="en-US" w:eastAsia="zh-CN"/>
              </w:rPr>
              <w:t>分</w:t>
            </w:r>
            <w:r>
              <w:rPr>
                <w:rFonts w:hint="eastAsia" w:ascii="宋体" w:hAnsi="宋体" w:eastAsia="宋体"/>
                <w:szCs w:val="21"/>
                <w:highlight w:val="none"/>
              </w:rPr>
              <w:t xml:space="preserve">； </w:t>
            </w:r>
          </w:p>
          <w:p w14:paraId="3C7AF752">
            <w:pPr>
              <w:jc w:val="both"/>
              <w:rPr>
                <w:rFonts w:hint="eastAsia" w:ascii="宋体" w:hAnsi="宋体" w:eastAsia="宋体"/>
                <w:szCs w:val="21"/>
                <w:highlight w:val="none"/>
              </w:rPr>
            </w:pPr>
            <w:r>
              <w:rPr>
                <w:rFonts w:hint="eastAsia" w:ascii="宋体" w:hAnsi="宋体" w:eastAsia="宋体"/>
                <w:szCs w:val="21"/>
                <w:highlight w:val="none"/>
              </w:rPr>
              <w:t>②方案较安全合理，有一定可行性，得</w:t>
            </w:r>
            <w:r>
              <w:rPr>
                <w:rFonts w:hint="default" w:ascii="宋体" w:hAnsi="宋体" w:eastAsia="宋体"/>
                <w:szCs w:val="21"/>
                <w:highlight w:val="none"/>
                <w:lang w:eastAsia="zh-CN"/>
              </w:rPr>
              <w:t>1</w:t>
            </w:r>
            <w:r>
              <w:rPr>
                <w:rFonts w:hint="eastAsia" w:ascii="宋体" w:hAnsi="宋体" w:eastAsia="宋体"/>
                <w:szCs w:val="21"/>
                <w:highlight w:val="none"/>
                <w:lang w:val="en-US" w:eastAsia="zh-CN"/>
              </w:rPr>
              <w:t>分</w:t>
            </w:r>
            <w:r>
              <w:rPr>
                <w:rFonts w:hint="eastAsia" w:ascii="宋体" w:hAnsi="宋体" w:eastAsia="宋体"/>
                <w:szCs w:val="21"/>
                <w:highlight w:val="none"/>
              </w:rPr>
              <w:t>；</w:t>
            </w:r>
          </w:p>
          <w:p w14:paraId="62582D10">
            <w:pPr>
              <w:jc w:val="both"/>
              <w:rPr>
                <w:rFonts w:hint="eastAsia" w:ascii="宋体" w:hAnsi="宋体" w:eastAsia="宋体"/>
                <w:szCs w:val="21"/>
                <w:highlight w:val="none"/>
              </w:rPr>
            </w:pPr>
            <w:r>
              <w:rPr>
                <w:rFonts w:hint="eastAsia" w:ascii="宋体" w:hAnsi="宋体" w:eastAsia="宋体"/>
                <w:szCs w:val="21"/>
                <w:highlight w:val="none"/>
              </w:rPr>
              <w:t>③方案安全合理一般，可行性一般，得</w:t>
            </w:r>
            <w:r>
              <w:rPr>
                <w:rFonts w:hint="default" w:ascii="宋体" w:hAnsi="宋体" w:eastAsia="宋体"/>
                <w:szCs w:val="21"/>
                <w:highlight w:val="none"/>
                <w:lang w:eastAsia="zh-CN"/>
              </w:rPr>
              <w:t>0.5</w:t>
            </w:r>
            <w:r>
              <w:rPr>
                <w:rFonts w:hint="eastAsia" w:ascii="宋体" w:hAnsi="宋体" w:eastAsia="宋体"/>
                <w:szCs w:val="21"/>
                <w:highlight w:val="none"/>
                <w:lang w:val="en-US" w:eastAsia="zh-CN"/>
              </w:rPr>
              <w:t>分</w:t>
            </w:r>
            <w:r>
              <w:rPr>
                <w:rFonts w:hint="eastAsia" w:ascii="宋体" w:hAnsi="宋体" w:eastAsia="宋体"/>
                <w:szCs w:val="21"/>
                <w:highlight w:val="none"/>
              </w:rPr>
              <w:t>；</w:t>
            </w:r>
          </w:p>
          <w:p w14:paraId="31FB025F">
            <w:pPr>
              <w:jc w:val="both"/>
              <w:rPr>
                <w:rFonts w:hint="eastAsia" w:ascii="宋体" w:hAnsi="宋体" w:eastAsia="宋体"/>
                <w:szCs w:val="21"/>
                <w:highlight w:val="none"/>
              </w:rPr>
            </w:pPr>
            <w:r>
              <w:rPr>
                <w:rFonts w:hint="eastAsia" w:ascii="宋体" w:hAnsi="宋体" w:eastAsia="宋体"/>
                <w:szCs w:val="21"/>
                <w:highlight w:val="none"/>
              </w:rPr>
              <w:t>④未按要求提供方案或提供不清晰导致专家无法判断的不得分。</w:t>
            </w:r>
          </w:p>
        </w:tc>
      </w:tr>
      <w:tr w14:paraId="5ED41BA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0" w:hRule="atLeast"/>
          <w:jc w:val="center"/>
        </w:trPr>
        <w:tc>
          <w:tcPr>
            <w:tcW w:w="374" w:type="pct"/>
            <w:vMerge w:val="continue"/>
            <w:tcBorders>
              <w:top w:val="single" w:color="000000" w:sz="8" w:space="0"/>
              <w:left w:val="single" w:color="000000" w:sz="8" w:space="0"/>
              <w:bottom w:val="single" w:color="000000" w:sz="8" w:space="0"/>
              <w:right w:val="single" w:color="000000" w:sz="8" w:space="0"/>
            </w:tcBorders>
            <w:noWrap w:val="0"/>
            <w:vAlign w:val="center"/>
          </w:tcPr>
          <w:p w14:paraId="19C09703">
            <w:pPr>
              <w:keepNext w:val="0"/>
              <w:keepLines w:val="0"/>
              <w:pageBreakBefore w:val="0"/>
              <w:kinsoku/>
              <w:overflowPunct/>
              <w:topLinePunct w:val="0"/>
              <w:bidi w:val="0"/>
              <w:spacing w:line="240" w:lineRule="auto"/>
              <w:rPr>
                <w:rFonts w:hint="eastAsia" w:ascii="宋体" w:hAnsi="宋体" w:eastAsia="宋体" w:cs="宋体"/>
                <w:b/>
                <w:bCs/>
                <w:color w:val="0000FF"/>
                <w:sz w:val="22"/>
                <w:szCs w:val="22"/>
                <w:highlight w:val="none"/>
              </w:rPr>
            </w:pPr>
          </w:p>
        </w:tc>
        <w:tc>
          <w:tcPr>
            <w:tcW w:w="374" w:type="pct"/>
            <w:tcBorders>
              <w:top w:val="single" w:color="000000" w:sz="8" w:space="0"/>
              <w:left w:val="single" w:color="000000" w:sz="8" w:space="0"/>
              <w:bottom w:val="single" w:color="000000" w:sz="8" w:space="0"/>
              <w:right w:val="single" w:color="000000" w:sz="8" w:space="0"/>
            </w:tcBorders>
            <w:noWrap w:val="0"/>
            <w:vAlign w:val="top"/>
          </w:tcPr>
          <w:p w14:paraId="738D6A31">
            <w:pPr>
              <w:keepNext w:val="0"/>
              <w:keepLines w:val="0"/>
              <w:pageBreakBefore w:val="0"/>
              <w:kinsoku/>
              <w:wordWrap w:val="0"/>
              <w:overflowPunct/>
              <w:topLinePunct w:val="0"/>
              <w:bidi w:val="0"/>
              <w:snapToGrid/>
              <w:spacing w:line="240" w:lineRule="auto"/>
              <w:jc w:val="center"/>
              <w:rPr>
                <w:rFonts w:hint="eastAsia" w:ascii="宋体" w:hAnsi="宋体" w:eastAsia="宋体" w:cs="宋体"/>
                <w:color w:val="auto"/>
                <w:sz w:val="22"/>
                <w:szCs w:val="22"/>
                <w:highlight w:val="none"/>
                <w:lang w:val="en-US" w:eastAsia="zh-CN"/>
              </w:rPr>
            </w:pPr>
            <w:r>
              <w:rPr>
                <w:rFonts w:hint="eastAsia" w:ascii="宋体" w:hAnsi="宋体" w:eastAsia="宋体" w:cs="宋体"/>
                <w:sz w:val="22"/>
                <w:szCs w:val="22"/>
                <w:highlight w:val="none"/>
              </w:rPr>
              <w:t>3</w:t>
            </w:r>
          </w:p>
        </w:tc>
        <w:tc>
          <w:tcPr>
            <w:tcW w:w="1090" w:type="pct"/>
            <w:tcBorders>
              <w:top w:val="single" w:color="000000" w:sz="8" w:space="0"/>
              <w:left w:val="single" w:color="000000" w:sz="8" w:space="0"/>
              <w:bottom w:val="single" w:color="000000" w:sz="8" w:space="0"/>
              <w:right w:val="single" w:color="000000" w:sz="8" w:space="0"/>
            </w:tcBorders>
            <w:noWrap w:val="0"/>
            <w:vAlign w:val="top"/>
          </w:tcPr>
          <w:p w14:paraId="70BD51AE">
            <w:pPr>
              <w:keepNext w:val="0"/>
              <w:keepLines w:val="0"/>
              <w:pageBreakBefore w:val="0"/>
              <w:kinsoku/>
              <w:wordWrap w:val="0"/>
              <w:overflowPunct/>
              <w:topLinePunct w:val="0"/>
              <w:bidi w:val="0"/>
              <w:snapToGrid/>
              <w:spacing w:line="240" w:lineRule="auto"/>
              <w:jc w:val="center"/>
              <w:rPr>
                <w:rFonts w:hint="eastAsia" w:ascii="宋体" w:hAnsi="宋体" w:eastAsia="宋体" w:cs="宋体"/>
                <w:color w:val="auto"/>
                <w:sz w:val="22"/>
                <w:szCs w:val="22"/>
                <w:highlight w:val="none"/>
              </w:rPr>
            </w:pPr>
            <w:r>
              <w:rPr>
                <w:rFonts w:hint="eastAsia" w:ascii="宋体" w:hAnsi="宋体" w:eastAsia="宋体" w:cs="宋体"/>
                <w:sz w:val="22"/>
                <w:szCs w:val="22"/>
                <w:highlight w:val="none"/>
              </w:rPr>
              <w:t>应急方案</w:t>
            </w:r>
          </w:p>
        </w:tc>
        <w:tc>
          <w:tcPr>
            <w:tcW w:w="477" w:type="pct"/>
            <w:tcBorders>
              <w:top w:val="single" w:color="000000" w:sz="8" w:space="0"/>
              <w:left w:val="single" w:color="000000" w:sz="8" w:space="0"/>
              <w:bottom w:val="single" w:color="000000" w:sz="8" w:space="0"/>
              <w:right w:val="single" w:color="000000" w:sz="8" w:space="0"/>
            </w:tcBorders>
            <w:noWrap w:val="0"/>
            <w:vAlign w:val="top"/>
          </w:tcPr>
          <w:p w14:paraId="2747F9D9">
            <w:pPr>
              <w:keepNext w:val="0"/>
              <w:keepLines w:val="0"/>
              <w:pageBreakBefore w:val="0"/>
              <w:kinsoku/>
              <w:wordWrap w:val="0"/>
              <w:overflowPunct/>
              <w:topLinePunct w:val="0"/>
              <w:bidi w:val="0"/>
              <w:snapToGrid/>
              <w:spacing w:line="240" w:lineRule="auto"/>
              <w:jc w:val="center"/>
              <w:rPr>
                <w:rFonts w:hint="default" w:ascii="宋体" w:hAnsi="宋体" w:eastAsia="宋体" w:cs="宋体"/>
                <w:color w:val="auto"/>
                <w:sz w:val="22"/>
                <w:szCs w:val="22"/>
                <w:highlight w:val="none"/>
              </w:rPr>
            </w:pPr>
            <w:r>
              <w:rPr>
                <w:rFonts w:hint="default" w:ascii="宋体" w:hAnsi="宋体" w:cs="宋体"/>
                <w:sz w:val="22"/>
                <w:szCs w:val="22"/>
                <w:highlight w:val="none"/>
                <w:lang w:eastAsia="zh-CN"/>
              </w:rPr>
              <w:t>4</w:t>
            </w:r>
          </w:p>
        </w:tc>
        <w:tc>
          <w:tcPr>
            <w:tcW w:w="2683" w:type="pct"/>
            <w:tcBorders>
              <w:top w:val="single" w:color="000000" w:sz="8" w:space="0"/>
              <w:left w:val="single" w:color="000000" w:sz="8" w:space="0"/>
              <w:bottom w:val="single" w:color="000000" w:sz="8" w:space="0"/>
              <w:right w:val="single" w:color="000000" w:sz="8" w:space="0"/>
            </w:tcBorders>
            <w:noWrap w:val="0"/>
            <w:vAlign w:val="top"/>
          </w:tcPr>
          <w:p w14:paraId="21093198">
            <w:pPr>
              <w:jc w:val="both"/>
              <w:rPr>
                <w:rFonts w:hint="eastAsia" w:ascii="宋体" w:hAnsi="宋体" w:eastAsia="宋体"/>
                <w:b/>
                <w:bCs/>
                <w:szCs w:val="21"/>
                <w:highlight w:val="none"/>
              </w:rPr>
            </w:pPr>
            <w:r>
              <w:rPr>
                <w:rFonts w:hint="eastAsia" w:ascii="宋体" w:hAnsi="宋体" w:eastAsia="宋体"/>
                <w:b/>
                <w:bCs/>
                <w:szCs w:val="21"/>
                <w:highlight w:val="none"/>
                <w:lang w:val="en-US" w:eastAsia="zh-CN"/>
              </w:rPr>
              <w:t>（一）</w:t>
            </w:r>
            <w:r>
              <w:rPr>
                <w:rFonts w:hint="eastAsia" w:ascii="宋体" w:hAnsi="宋体" w:eastAsia="宋体"/>
                <w:b/>
                <w:bCs/>
                <w:szCs w:val="21"/>
                <w:highlight w:val="none"/>
              </w:rPr>
              <w:t>评审内容：</w:t>
            </w:r>
          </w:p>
          <w:p w14:paraId="0AA2D6B9">
            <w:pPr>
              <w:jc w:val="both"/>
              <w:rPr>
                <w:rFonts w:hint="eastAsia" w:ascii="宋体" w:hAnsi="宋体" w:eastAsia="宋体"/>
                <w:szCs w:val="21"/>
                <w:highlight w:val="none"/>
              </w:rPr>
            </w:pPr>
            <w:r>
              <w:rPr>
                <w:rFonts w:hint="eastAsia" w:ascii="宋体" w:hAnsi="宋体" w:eastAsia="宋体"/>
                <w:szCs w:val="21"/>
                <w:highlight w:val="none"/>
              </w:rPr>
              <w:t>根据投标文件中对本项目做出的应急保障措施，包括但不限于以下内容：</w:t>
            </w:r>
          </w:p>
          <w:p w14:paraId="073091CB">
            <w:pPr>
              <w:jc w:val="both"/>
              <w:rPr>
                <w:rFonts w:hint="eastAsia" w:ascii="宋体" w:hAnsi="宋体" w:eastAsia="宋体"/>
                <w:szCs w:val="21"/>
                <w:highlight w:val="none"/>
              </w:rPr>
            </w:pPr>
            <w:r>
              <w:rPr>
                <w:rFonts w:hint="eastAsia" w:ascii="宋体" w:hAnsi="宋体" w:eastAsia="宋体"/>
                <w:szCs w:val="21"/>
                <w:highlight w:val="none"/>
              </w:rPr>
              <w:t>①提供应急预案；</w:t>
            </w:r>
          </w:p>
          <w:p w14:paraId="60A2BE34">
            <w:pPr>
              <w:jc w:val="both"/>
              <w:rPr>
                <w:rFonts w:hint="eastAsia" w:ascii="宋体" w:hAnsi="宋体" w:eastAsia="宋体"/>
                <w:szCs w:val="21"/>
                <w:highlight w:val="none"/>
              </w:rPr>
            </w:pPr>
            <w:r>
              <w:rPr>
                <w:rFonts w:hint="eastAsia" w:ascii="宋体" w:hAnsi="宋体" w:eastAsia="宋体"/>
                <w:szCs w:val="21"/>
                <w:highlight w:val="none"/>
              </w:rPr>
              <w:t>②应急预案合理规范等内容</w:t>
            </w:r>
            <w:r>
              <w:rPr>
                <w:rFonts w:hint="eastAsia" w:ascii="宋体" w:hAnsi="宋体"/>
                <w:szCs w:val="21"/>
                <w:highlight w:val="none"/>
                <w:lang w:eastAsia="zh-CN"/>
              </w:rPr>
              <w:t>。</w:t>
            </w:r>
          </w:p>
          <w:p w14:paraId="6192745B">
            <w:pPr>
              <w:jc w:val="both"/>
              <w:rPr>
                <w:rFonts w:hint="eastAsia" w:ascii="宋体" w:hAnsi="宋体" w:eastAsia="宋体"/>
                <w:b/>
                <w:bCs/>
                <w:szCs w:val="21"/>
                <w:highlight w:val="none"/>
              </w:rPr>
            </w:pPr>
            <w:r>
              <w:rPr>
                <w:rFonts w:hint="eastAsia" w:ascii="宋体" w:hAnsi="宋体" w:eastAsia="宋体"/>
                <w:b/>
                <w:bCs/>
                <w:szCs w:val="21"/>
                <w:highlight w:val="none"/>
                <w:lang w:val="en-US" w:eastAsia="zh-CN"/>
              </w:rPr>
              <w:t>（二）</w:t>
            </w:r>
            <w:r>
              <w:rPr>
                <w:rFonts w:hint="eastAsia" w:ascii="宋体" w:hAnsi="宋体" w:eastAsia="宋体"/>
                <w:b/>
                <w:bCs/>
                <w:szCs w:val="21"/>
                <w:highlight w:val="none"/>
              </w:rPr>
              <w:t>评审依据：</w:t>
            </w:r>
          </w:p>
          <w:p w14:paraId="42D6A24D">
            <w:pPr>
              <w:jc w:val="both"/>
              <w:rPr>
                <w:rFonts w:hint="eastAsia" w:ascii="宋体" w:hAnsi="宋体" w:eastAsia="宋体"/>
                <w:szCs w:val="21"/>
                <w:highlight w:val="none"/>
              </w:rPr>
            </w:pPr>
            <w:r>
              <w:rPr>
                <w:rFonts w:hint="eastAsia" w:ascii="宋体" w:hAnsi="宋体" w:eastAsia="宋体"/>
                <w:szCs w:val="21"/>
                <w:highlight w:val="none"/>
              </w:rPr>
              <w:t>提供的内容满足上述要求的得</w:t>
            </w:r>
            <w:r>
              <w:rPr>
                <w:rFonts w:hint="eastAsia" w:ascii="宋体" w:hAnsi="宋体" w:eastAsia="宋体"/>
                <w:szCs w:val="21"/>
                <w:highlight w:val="none"/>
                <w:lang w:val="en-US" w:eastAsia="zh-CN"/>
              </w:rPr>
              <w:t>2分</w:t>
            </w:r>
            <w:r>
              <w:rPr>
                <w:rFonts w:hint="eastAsia" w:ascii="宋体" w:hAnsi="宋体" w:eastAsia="宋体"/>
                <w:szCs w:val="21"/>
                <w:highlight w:val="none"/>
              </w:rPr>
              <w:t>，每缺一</w:t>
            </w:r>
            <w:r>
              <w:rPr>
                <w:rFonts w:hint="eastAsia" w:ascii="宋体" w:hAnsi="宋体"/>
                <w:szCs w:val="21"/>
                <w:highlight w:val="none"/>
                <w:lang w:eastAsia="zh-CN"/>
              </w:rPr>
              <w:t>项</w:t>
            </w:r>
            <w:r>
              <w:rPr>
                <w:rFonts w:hint="eastAsia" w:ascii="宋体" w:hAnsi="宋体" w:eastAsia="宋体"/>
                <w:szCs w:val="21"/>
                <w:highlight w:val="none"/>
              </w:rPr>
              <w:t>内容扣</w:t>
            </w:r>
            <w:r>
              <w:rPr>
                <w:rFonts w:hint="eastAsia" w:ascii="宋体" w:hAnsi="宋体" w:eastAsia="宋体"/>
                <w:szCs w:val="21"/>
                <w:highlight w:val="none"/>
                <w:lang w:val="en-US" w:eastAsia="zh-CN"/>
              </w:rPr>
              <w:t>1分</w:t>
            </w:r>
            <w:r>
              <w:rPr>
                <w:rFonts w:hint="eastAsia" w:ascii="宋体" w:hAnsi="宋体" w:eastAsia="宋体"/>
                <w:szCs w:val="21"/>
                <w:highlight w:val="none"/>
              </w:rPr>
              <w:t>，扣完为止。</w:t>
            </w:r>
          </w:p>
          <w:p w14:paraId="7699893F">
            <w:pPr>
              <w:jc w:val="both"/>
              <w:rPr>
                <w:rFonts w:hint="eastAsia" w:ascii="宋体" w:hAnsi="宋体" w:eastAsia="宋体"/>
                <w:szCs w:val="21"/>
                <w:highlight w:val="none"/>
              </w:rPr>
            </w:pPr>
            <w:r>
              <w:rPr>
                <w:rFonts w:hint="eastAsia" w:ascii="宋体" w:hAnsi="宋体" w:eastAsia="宋体"/>
                <w:szCs w:val="21"/>
                <w:highlight w:val="none"/>
              </w:rPr>
              <w:t>在此基础上，由评审委员会对具体响应内容合理性等进行评分：</w:t>
            </w:r>
          </w:p>
          <w:p w14:paraId="0415F41E">
            <w:pPr>
              <w:jc w:val="both"/>
              <w:rPr>
                <w:rFonts w:hint="eastAsia" w:ascii="宋体" w:hAnsi="宋体" w:eastAsia="宋体"/>
                <w:szCs w:val="21"/>
                <w:highlight w:val="none"/>
              </w:rPr>
            </w:pPr>
            <w:r>
              <w:rPr>
                <w:rFonts w:hint="eastAsia" w:ascii="宋体" w:hAnsi="宋体" w:eastAsia="宋体"/>
                <w:szCs w:val="21"/>
                <w:highlight w:val="none"/>
              </w:rPr>
              <w:t>①应急响应方案结合实际情况分析，切实可行的，得</w:t>
            </w:r>
            <w:r>
              <w:rPr>
                <w:rFonts w:hint="default" w:ascii="宋体" w:hAnsi="宋体" w:eastAsia="宋体"/>
                <w:szCs w:val="21"/>
                <w:highlight w:val="none"/>
                <w:lang w:eastAsia="zh-CN"/>
              </w:rPr>
              <w:t>2</w:t>
            </w:r>
            <w:r>
              <w:rPr>
                <w:rFonts w:hint="eastAsia" w:ascii="宋体" w:hAnsi="宋体" w:eastAsia="宋体"/>
                <w:szCs w:val="21"/>
                <w:highlight w:val="none"/>
                <w:lang w:val="en-US" w:eastAsia="zh-CN"/>
              </w:rPr>
              <w:t>分</w:t>
            </w:r>
            <w:r>
              <w:rPr>
                <w:rFonts w:hint="eastAsia" w:ascii="宋体" w:hAnsi="宋体" w:eastAsia="宋体"/>
                <w:szCs w:val="21"/>
                <w:highlight w:val="none"/>
              </w:rPr>
              <w:t>；</w:t>
            </w:r>
          </w:p>
          <w:p w14:paraId="6E5C4ACB">
            <w:pPr>
              <w:jc w:val="both"/>
              <w:rPr>
                <w:rFonts w:hint="eastAsia" w:ascii="宋体" w:hAnsi="宋体" w:eastAsia="宋体"/>
                <w:szCs w:val="21"/>
                <w:highlight w:val="none"/>
              </w:rPr>
            </w:pPr>
            <w:r>
              <w:rPr>
                <w:rFonts w:hint="eastAsia" w:ascii="宋体" w:hAnsi="宋体" w:eastAsia="宋体"/>
                <w:szCs w:val="21"/>
                <w:highlight w:val="none"/>
              </w:rPr>
              <w:t>②应急响应方案完整，有一定可行性的，得</w:t>
            </w:r>
            <w:r>
              <w:rPr>
                <w:rFonts w:hint="default" w:ascii="宋体" w:hAnsi="宋体" w:eastAsia="宋体"/>
                <w:szCs w:val="21"/>
                <w:highlight w:val="none"/>
                <w:lang w:eastAsia="zh-CN"/>
              </w:rPr>
              <w:t>1</w:t>
            </w:r>
            <w:r>
              <w:rPr>
                <w:rFonts w:hint="eastAsia" w:ascii="宋体" w:hAnsi="宋体" w:eastAsia="宋体"/>
                <w:szCs w:val="21"/>
                <w:highlight w:val="none"/>
                <w:lang w:val="en-US" w:eastAsia="zh-CN"/>
              </w:rPr>
              <w:t>分</w:t>
            </w:r>
            <w:r>
              <w:rPr>
                <w:rFonts w:hint="eastAsia" w:ascii="宋体" w:hAnsi="宋体" w:eastAsia="宋体"/>
                <w:szCs w:val="21"/>
                <w:highlight w:val="none"/>
              </w:rPr>
              <w:t>；</w:t>
            </w:r>
          </w:p>
          <w:p w14:paraId="7A198FEC">
            <w:pPr>
              <w:jc w:val="both"/>
              <w:rPr>
                <w:rFonts w:hint="eastAsia" w:ascii="宋体" w:hAnsi="宋体" w:eastAsia="宋体"/>
                <w:szCs w:val="21"/>
                <w:highlight w:val="none"/>
              </w:rPr>
            </w:pPr>
            <w:r>
              <w:rPr>
                <w:rFonts w:hint="eastAsia" w:ascii="宋体" w:hAnsi="宋体" w:eastAsia="宋体"/>
                <w:szCs w:val="21"/>
                <w:highlight w:val="none"/>
              </w:rPr>
              <w:t>③应急响应方案较完整，可行性一般的，得</w:t>
            </w:r>
            <w:r>
              <w:rPr>
                <w:rFonts w:hint="default" w:ascii="宋体" w:hAnsi="宋体" w:eastAsia="宋体"/>
                <w:szCs w:val="21"/>
                <w:highlight w:val="none"/>
                <w:lang w:eastAsia="zh-CN"/>
              </w:rPr>
              <w:t>0.5</w:t>
            </w:r>
            <w:r>
              <w:rPr>
                <w:rFonts w:hint="eastAsia" w:ascii="宋体" w:hAnsi="宋体" w:eastAsia="宋体"/>
                <w:szCs w:val="21"/>
                <w:highlight w:val="none"/>
                <w:lang w:val="en-US" w:eastAsia="zh-CN"/>
              </w:rPr>
              <w:t>分</w:t>
            </w:r>
            <w:r>
              <w:rPr>
                <w:rFonts w:hint="eastAsia" w:ascii="宋体" w:hAnsi="宋体" w:eastAsia="宋体"/>
                <w:szCs w:val="21"/>
                <w:highlight w:val="none"/>
              </w:rPr>
              <w:t>；</w:t>
            </w:r>
          </w:p>
          <w:p w14:paraId="0C4B8810">
            <w:pPr>
              <w:jc w:val="both"/>
              <w:rPr>
                <w:rFonts w:hint="eastAsia" w:ascii="宋体" w:hAnsi="宋体" w:eastAsia="宋体"/>
                <w:szCs w:val="21"/>
                <w:highlight w:val="none"/>
              </w:rPr>
            </w:pPr>
            <w:r>
              <w:rPr>
                <w:rFonts w:hint="eastAsia" w:ascii="宋体" w:hAnsi="宋体" w:eastAsia="宋体"/>
                <w:szCs w:val="21"/>
                <w:highlight w:val="none"/>
              </w:rPr>
              <w:t>④</w:t>
            </w:r>
            <w:r>
              <w:rPr>
                <w:rFonts w:hint="eastAsia" w:ascii="宋体" w:hAnsi="宋体" w:eastAsia="宋体"/>
                <w:szCs w:val="21"/>
                <w:highlight w:val="none"/>
                <w:lang w:eastAsia="zh-CN"/>
              </w:rPr>
              <w:t>未</w:t>
            </w:r>
            <w:r>
              <w:rPr>
                <w:rFonts w:hint="eastAsia" w:ascii="宋体" w:hAnsi="宋体" w:eastAsia="宋体"/>
                <w:szCs w:val="21"/>
                <w:highlight w:val="none"/>
              </w:rPr>
              <w:t>提供保障措施或提供不清晰导致专家无法判断的不得分。</w:t>
            </w:r>
          </w:p>
        </w:tc>
      </w:tr>
      <w:tr w14:paraId="55B706A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0" w:hRule="atLeast"/>
          <w:jc w:val="center"/>
        </w:trPr>
        <w:tc>
          <w:tcPr>
            <w:tcW w:w="374" w:type="pct"/>
            <w:vMerge w:val="continue"/>
            <w:tcBorders>
              <w:top w:val="single" w:color="000000" w:sz="8" w:space="0"/>
              <w:left w:val="single" w:color="000000" w:sz="8" w:space="0"/>
              <w:bottom w:val="single" w:color="000000" w:sz="8" w:space="0"/>
              <w:right w:val="single" w:color="000000" w:sz="8" w:space="0"/>
            </w:tcBorders>
            <w:noWrap w:val="0"/>
            <w:vAlign w:val="center"/>
          </w:tcPr>
          <w:p w14:paraId="2A0A2DCF">
            <w:pPr>
              <w:keepNext w:val="0"/>
              <w:keepLines w:val="0"/>
              <w:pageBreakBefore w:val="0"/>
              <w:kinsoku/>
              <w:overflowPunct/>
              <w:topLinePunct w:val="0"/>
              <w:bidi w:val="0"/>
              <w:spacing w:line="240" w:lineRule="auto"/>
              <w:rPr>
                <w:rFonts w:hint="eastAsia" w:ascii="宋体" w:hAnsi="宋体" w:eastAsia="宋体" w:cs="宋体"/>
                <w:b/>
                <w:bCs/>
                <w:color w:val="0000FF"/>
                <w:sz w:val="22"/>
                <w:szCs w:val="22"/>
                <w:highlight w:val="none"/>
              </w:rPr>
            </w:pPr>
          </w:p>
        </w:tc>
        <w:tc>
          <w:tcPr>
            <w:tcW w:w="374" w:type="pct"/>
            <w:tcBorders>
              <w:top w:val="single" w:color="000000" w:sz="8" w:space="0"/>
              <w:left w:val="single" w:color="000000" w:sz="8" w:space="0"/>
              <w:bottom w:val="single" w:color="000000" w:sz="8" w:space="0"/>
              <w:right w:val="single" w:color="000000" w:sz="8" w:space="0"/>
            </w:tcBorders>
            <w:noWrap w:val="0"/>
            <w:vAlign w:val="top"/>
          </w:tcPr>
          <w:p w14:paraId="14247C9E">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sz w:val="22"/>
                <w:szCs w:val="22"/>
                <w:highlight w:val="none"/>
                <w:lang w:val="en-US" w:eastAsia="zh-CN"/>
              </w:rPr>
              <w:t>4</w:t>
            </w:r>
          </w:p>
        </w:tc>
        <w:tc>
          <w:tcPr>
            <w:tcW w:w="1090" w:type="pct"/>
            <w:tcBorders>
              <w:top w:val="single" w:color="000000" w:sz="8" w:space="0"/>
              <w:left w:val="single" w:color="000000" w:sz="8" w:space="0"/>
              <w:bottom w:val="single" w:color="000000" w:sz="8" w:space="0"/>
              <w:right w:val="single" w:color="000000" w:sz="8" w:space="0"/>
            </w:tcBorders>
            <w:noWrap w:val="0"/>
            <w:vAlign w:val="top"/>
          </w:tcPr>
          <w:p w14:paraId="7753D5C7">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color w:val="auto"/>
                <w:sz w:val="22"/>
                <w:szCs w:val="22"/>
                <w:highlight w:val="none"/>
              </w:rPr>
            </w:pPr>
            <w:r>
              <w:rPr>
                <w:rFonts w:hint="eastAsia" w:ascii="宋体" w:hAnsi="宋体" w:eastAsia="宋体" w:cs="宋体"/>
                <w:sz w:val="22"/>
                <w:szCs w:val="22"/>
                <w:highlight w:val="none"/>
                <w:lang w:eastAsia="zh-CN"/>
              </w:rPr>
              <w:t>卫生管理和保障制度</w:t>
            </w:r>
          </w:p>
        </w:tc>
        <w:tc>
          <w:tcPr>
            <w:tcW w:w="477" w:type="pct"/>
            <w:tcBorders>
              <w:top w:val="single" w:color="000000" w:sz="8" w:space="0"/>
              <w:left w:val="single" w:color="000000" w:sz="8" w:space="0"/>
              <w:bottom w:val="single" w:color="000000" w:sz="8" w:space="0"/>
              <w:right w:val="single" w:color="000000" w:sz="8" w:space="0"/>
            </w:tcBorders>
            <w:noWrap w:val="0"/>
            <w:vAlign w:val="top"/>
          </w:tcPr>
          <w:p w14:paraId="255EE541">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default" w:ascii="宋体" w:hAnsi="宋体" w:eastAsia="宋体" w:cs="宋体"/>
                <w:color w:val="auto"/>
                <w:sz w:val="22"/>
                <w:szCs w:val="22"/>
                <w:highlight w:val="none"/>
              </w:rPr>
            </w:pPr>
            <w:r>
              <w:rPr>
                <w:rFonts w:hint="default" w:ascii="宋体" w:hAnsi="宋体" w:cs="宋体"/>
                <w:sz w:val="22"/>
                <w:szCs w:val="22"/>
                <w:highlight w:val="none"/>
                <w:lang w:eastAsia="zh-CN"/>
              </w:rPr>
              <w:t>4</w:t>
            </w:r>
          </w:p>
        </w:tc>
        <w:tc>
          <w:tcPr>
            <w:tcW w:w="2683" w:type="pct"/>
            <w:tcBorders>
              <w:top w:val="single" w:color="000000" w:sz="8" w:space="0"/>
              <w:left w:val="single" w:color="000000" w:sz="8" w:space="0"/>
              <w:bottom w:val="single" w:color="000000" w:sz="8" w:space="0"/>
              <w:right w:val="single" w:color="000000" w:sz="8" w:space="0"/>
            </w:tcBorders>
            <w:noWrap w:val="0"/>
            <w:vAlign w:val="top"/>
          </w:tcPr>
          <w:p w14:paraId="41517570">
            <w:pPr>
              <w:jc w:val="both"/>
              <w:rPr>
                <w:rFonts w:hint="eastAsia" w:ascii="宋体" w:hAnsi="宋体" w:eastAsia="宋体"/>
                <w:b/>
                <w:bCs/>
                <w:szCs w:val="21"/>
                <w:highlight w:val="none"/>
              </w:rPr>
            </w:pPr>
            <w:r>
              <w:rPr>
                <w:rFonts w:hint="eastAsia" w:ascii="宋体" w:hAnsi="宋体" w:eastAsia="宋体"/>
                <w:b/>
                <w:bCs/>
                <w:szCs w:val="21"/>
                <w:highlight w:val="none"/>
                <w:lang w:val="en-US" w:eastAsia="zh-CN"/>
              </w:rPr>
              <w:t>（一）</w:t>
            </w:r>
            <w:r>
              <w:rPr>
                <w:rFonts w:hint="eastAsia" w:ascii="宋体" w:hAnsi="宋体" w:eastAsia="宋体"/>
                <w:b/>
                <w:bCs/>
                <w:szCs w:val="21"/>
                <w:highlight w:val="none"/>
              </w:rPr>
              <w:t>评审内容：</w:t>
            </w:r>
          </w:p>
          <w:p w14:paraId="51B4C05F">
            <w:pPr>
              <w:jc w:val="both"/>
              <w:rPr>
                <w:rFonts w:hint="eastAsia" w:ascii="宋体" w:hAnsi="宋体" w:eastAsia="宋体"/>
                <w:szCs w:val="21"/>
                <w:highlight w:val="none"/>
              </w:rPr>
            </w:pPr>
            <w:r>
              <w:rPr>
                <w:rFonts w:hint="eastAsia" w:ascii="宋体" w:hAnsi="宋体" w:eastAsia="宋体"/>
                <w:szCs w:val="21"/>
                <w:highlight w:val="none"/>
              </w:rPr>
              <w:t>根据投标文件中对本项目做出的</w:t>
            </w:r>
            <w:r>
              <w:rPr>
                <w:rFonts w:hint="eastAsia" w:ascii="宋体" w:hAnsi="宋体" w:eastAsia="宋体"/>
                <w:szCs w:val="21"/>
                <w:highlight w:val="none"/>
                <w:lang w:eastAsia="zh-CN"/>
              </w:rPr>
              <w:t>卫生管理和保障制度</w:t>
            </w:r>
            <w:r>
              <w:rPr>
                <w:rFonts w:hint="eastAsia" w:ascii="宋体" w:hAnsi="宋体" w:eastAsia="宋体"/>
                <w:szCs w:val="21"/>
                <w:highlight w:val="none"/>
              </w:rPr>
              <w:t>，包括但不限于以下内容：</w:t>
            </w:r>
          </w:p>
          <w:p w14:paraId="6AFF6BA4">
            <w:pPr>
              <w:jc w:val="both"/>
              <w:rPr>
                <w:rFonts w:hint="eastAsia" w:ascii="宋体" w:hAnsi="宋体" w:eastAsia="宋体"/>
                <w:szCs w:val="21"/>
                <w:highlight w:val="none"/>
              </w:rPr>
            </w:pPr>
            <w:r>
              <w:rPr>
                <w:rFonts w:hint="eastAsia" w:ascii="宋体" w:hAnsi="宋体" w:eastAsia="宋体"/>
                <w:szCs w:val="21"/>
                <w:highlight w:val="none"/>
              </w:rPr>
              <w:t>①</w:t>
            </w:r>
            <w:r>
              <w:rPr>
                <w:rFonts w:hint="eastAsia" w:ascii="宋体" w:hAnsi="宋体" w:eastAsia="宋体"/>
                <w:szCs w:val="21"/>
                <w:highlight w:val="none"/>
                <w:lang w:eastAsia="zh-CN"/>
              </w:rPr>
              <w:t>卫生管理制度</w:t>
            </w:r>
            <w:r>
              <w:rPr>
                <w:rFonts w:hint="eastAsia" w:ascii="宋体" w:hAnsi="宋体" w:eastAsia="宋体"/>
                <w:szCs w:val="21"/>
                <w:highlight w:val="none"/>
              </w:rPr>
              <w:t>；</w:t>
            </w:r>
          </w:p>
          <w:p w14:paraId="2E27EE79">
            <w:pPr>
              <w:jc w:val="both"/>
              <w:rPr>
                <w:rFonts w:hint="eastAsia" w:ascii="宋体" w:hAnsi="宋体" w:eastAsia="宋体"/>
                <w:szCs w:val="21"/>
                <w:highlight w:val="none"/>
              </w:rPr>
            </w:pPr>
            <w:r>
              <w:rPr>
                <w:rFonts w:hint="eastAsia" w:ascii="宋体" w:hAnsi="宋体" w:eastAsia="宋体"/>
                <w:szCs w:val="21"/>
                <w:highlight w:val="none"/>
              </w:rPr>
              <w:t>②</w:t>
            </w:r>
            <w:r>
              <w:rPr>
                <w:rFonts w:hint="eastAsia" w:ascii="宋体" w:hAnsi="宋体" w:eastAsia="宋体"/>
                <w:szCs w:val="21"/>
                <w:highlight w:val="none"/>
                <w:lang w:eastAsia="zh-CN"/>
              </w:rPr>
              <w:t>保障制度</w:t>
            </w:r>
            <w:r>
              <w:rPr>
                <w:rFonts w:hint="eastAsia" w:ascii="宋体" w:hAnsi="宋体" w:eastAsia="宋体"/>
                <w:szCs w:val="21"/>
                <w:highlight w:val="none"/>
              </w:rPr>
              <w:t>；</w:t>
            </w:r>
          </w:p>
          <w:p w14:paraId="39A5C7B0">
            <w:pPr>
              <w:numPr>
                <w:ilvl w:val="0"/>
                <w:numId w:val="3"/>
              </w:numPr>
              <w:jc w:val="both"/>
              <w:rPr>
                <w:rFonts w:hint="eastAsia" w:ascii="宋体" w:hAnsi="宋体" w:eastAsia="宋体"/>
                <w:b/>
                <w:bCs/>
                <w:szCs w:val="21"/>
                <w:highlight w:val="none"/>
              </w:rPr>
            </w:pPr>
            <w:r>
              <w:rPr>
                <w:rFonts w:hint="eastAsia" w:ascii="宋体" w:hAnsi="宋体" w:eastAsia="宋体"/>
                <w:b/>
                <w:bCs/>
                <w:szCs w:val="21"/>
                <w:highlight w:val="none"/>
              </w:rPr>
              <w:t>评审依据：</w:t>
            </w:r>
          </w:p>
          <w:p w14:paraId="6EA9605E">
            <w:pPr>
              <w:jc w:val="both"/>
              <w:rPr>
                <w:rFonts w:hint="eastAsia" w:ascii="宋体" w:hAnsi="宋体" w:eastAsia="宋体"/>
                <w:szCs w:val="21"/>
                <w:highlight w:val="none"/>
              </w:rPr>
            </w:pPr>
            <w:r>
              <w:rPr>
                <w:rFonts w:hint="eastAsia" w:ascii="宋体" w:hAnsi="宋体" w:eastAsia="宋体"/>
                <w:szCs w:val="21"/>
                <w:highlight w:val="none"/>
              </w:rPr>
              <w:t>提供的内容满足上述要求的得</w:t>
            </w:r>
            <w:r>
              <w:rPr>
                <w:rFonts w:hint="eastAsia" w:ascii="宋体" w:hAnsi="宋体" w:eastAsia="宋体"/>
                <w:szCs w:val="21"/>
                <w:highlight w:val="none"/>
                <w:lang w:val="en-US" w:eastAsia="zh-CN"/>
              </w:rPr>
              <w:t>2分</w:t>
            </w:r>
            <w:r>
              <w:rPr>
                <w:rFonts w:hint="eastAsia" w:ascii="宋体" w:hAnsi="宋体" w:eastAsia="宋体"/>
                <w:szCs w:val="21"/>
                <w:highlight w:val="none"/>
              </w:rPr>
              <w:t>，每缺一</w:t>
            </w:r>
            <w:r>
              <w:rPr>
                <w:rFonts w:hint="eastAsia" w:ascii="宋体" w:hAnsi="宋体"/>
                <w:szCs w:val="21"/>
                <w:highlight w:val="none"/>
                <w:lang w:eastAsia="zh-CN"/>
              </w:rPr>
              <w:t>项</w:t>
            </w:r>
            <w:r>
              <w:rPr>
                <w:rFonts w:hint="eastAsia" w:ascii="宋体" w:hAnsi="宋体" w:eastAsia="宋体"/>
                <w:szCs w:val="21"/>
                <w:highlight w:val="none"/>
              </w:rPr>
              <w:t>内容扣</w:t>
            </w:r>
            <w:r>
              <w:rPr>
                <w:rFonts w:hint="eastAsia" w:ascii="宋体" w:hAnsi="宋体" w:eastAsia="宋体"/>
                <w:szCs w:val="21"/>
                <w:highlight w:val="none"/>
                <w:lang w:val="en-US" w:eastAsia="zh-CN"/>
              </w:rPr>
              <w:t>1分</w:t>
            </w:r>
            <w:r>
              <w:rPr>
                <w:rFonts w:hint="eastAsia" w:ascii="宋体" w:hAnsi="宋体" w:eastAsia="宋体"/>
                <w:szCs w:val="21"/>
                <w:highlight w:val="none"/>
              </w:rPr>
              <w:t>，扣完为止。</w:t>
            </w:r>
          </w:p>
          <w:p w14:paraId="65E154D5">
            <w:pPr>
              <w:jc w:val="both"/>
              <w:rPr>
                <w:rFonts w:hint="eastAsia" w:ascii="宋体" w:hAnsi="宋体" w:eastAsia="宋体"/>
                <w:szCs w:val="21"/>
                <w:highlight w:val="none"/>
              </w:rPr>
            </w:pPr>
            <w:r>
              <w:rPr>
                <w:rFonts w:hint="eastAsia" w:ascii="宋体" w:hAnsi="宋体" w:eastAsia="宋体"/>
                <w:szCs w:val="21"/>
                <w:highlight w:val="none"/>
              </w:rPr>
              <w:t>在此基础上，由评审委员会对具体响应内容合理性等进行评分：</w:t>
            </w:r>
          </w:p>
          <w:p w14:paraId="5098233B">
            <w:pPr>
              <w:jc w:val="both"/>
              <w:rPr>
                <w:rFonts w:hint="eastAsia" w:ascii="宋体" w:hAnsi="宋体" w:eastAsia="宋体"/>
                <w:szCs w:val="21"/>
                <w:highlight w:val="none"/>
              </w:rPr>
            </w:pPr>
            <w:r>
              <w:rPr>
                <w:rFonts w:hint="eastAsia" w:ascii="宋体" w:hAnsi="宋体" w:eastAsia="宋体"/>
                <w:szCs w:val="21"/>
                <w:highlight w:val="none"/>
              </w:rPr>
              <w:t>①</w:t>
            </w:r>
            <w:r>
              <w:rPr>
                <w:rFonts w:hint="eastAsia" w:ascii="宋体" w:hAnsi="宋体" w:eastAsia="宋体"/>
                <w:szCs w:val="21"/>
                <w:highlight w:val="none"/>
                <w:lang w:eastAsia="zh-CN"/>
              </w:rPr>
              <w:t>制度</w:t>
            </w:r>
            <w:r>
              <w:rPr>
                <w:rFonts w:hint="eastAsia" w:ascii="宋体" w:hAnsi="宋体" w:eastAsia="宋体"/>
                <w:szCs w:val="21"/>
                <w:highlight w:val="none"/>
              </w:rPr>
              <w:t>结合实际情况分析，切实可行的，得</w:t>
            </w:r>
            <w:r>
              <w:rPr>
                <w:rFonts w:hint="default" w:ascii="宋体" w:hAnsi="宋体" w:eastAsia="宋体"/>
                <w:szCs w:val="21"/>
                <w:highlight w:val="none"/>
                <w:lang w:eastAsia="zh-CN"/>
              </w:rPr>
              <w:t>2</w:t>
            </w:r>
            <w:r>
              <w:rPr>
                <w:rFonts w:hint="eastAsia" w:ascii="宋体" w:hAnsi="宋体" w:eastAsia="宋体"/>
                <w:szCs w:val="21"/>
                <w:highlight w:val="none"/>
                <w:lang w:val="en-US" w:eastAsia="zh-CN"/>
              </w:rPr>
              <w:t>分</w:t>
            </w:r>
            <w:r>
              <w:rPr>
                <w:rFonts w:hint="eastAsia" w:ascii="宋体" w:hAnsi="宋体" w:eastAsia="宋体"/>
                <w:szCs w:val="21"/>
                <w:highlight w:val="none"/>
              </w:rPr>
              <w:t>；</w:t>
            </w:r>
          </w:p>
          <w:p w14:paraId="7F4AF985">
            <w:pPr>
              <w:jc w:val="both"/>
              <w:rPr>
                <w:rFonts w:hint="eastAsia" w:ascii="宋体" w:hAnsi="宋体" w:eastAsia="宋体"/>
                <w:szCs w:val="21"/>
                <w:highlight w:val="none"/>
              </w:rPr>
            </w:pPr>
            <w:r>
              <w:rPr>
                <w:rFonts w:hint="eastAsia" w:ascii="宋体" w:hAnsi="宋体" w:eastAsia="宋体"/>
                <w:szCs w:val="21"/>
                <w:highlight w:val="none"/>
              </w:rPr>
              <w:t>②</w:t>
            </w:r>
            <w:r>
              <w:rPr>
                <w:rFonts w:hint="eastAsia" w:ascii="宋体" w:hAnsi="宋体" w:eastAsia="宋体"/>
                <w:szCs w:val="21"/>
                <w:highlight w:val="none"/>
                <w:lang w:eastAsia="zh-CN"/>
              </w:rPr>
              <w:t>制度</w:t>
            </w:r>
            <w:r>
              <w:rPr>
                <w:rFonts w:hint="eastAsia" w:ascii="宋体" w:hAnsi="宋体" w:eastAsia="宋体"/>
                <w:szCs w:val="21"/>
                <w:highlight w:val="none"/>
              </w:rPr>
              <w:t>响应方案完整，有一定可行性的，得</w:t>
            </w:r>
            <w:r>
              <w:rPr>
                <w:rFonts w:hint="default" w:ascii="宋体" w:hAnsi="宋体" w:eastAsia="宋体"/>
                <w:szCs w:val="21"/>
                <w:highlight w:val="none"/>
                <w:lang w:eastAsia="zh-CN"/>
              </w:rPr>
              <w:t>1</w:t>
            </w:r>
            <w:r>
              <w:rPr>
                <w:rFonts w:hint="eastAsia" w:ascii="宋体" w:hAnsi="宋体" w:eastAsia="宋体"/>
                <w:szCs w:val="21"/>
                <w:highlight w:val="none"/>
                <w:lang w:val="en-US" w:eastAsia="zh-CN"/>
              </w:rPr>
              <w:t>分</w:t>
            </w:r>
            <w:r>
              <w:rPr>
                <w:rFonts w:hint="eastAsia" w:ascii="宋体" w:hAnsi="宋体" w:eastAsia="宋体"/>
                <w:szCs w:val="21"/>
                <w:highlight w:val="none"/>
              </w:rPr>
              <w:t>；</w:t>
            </w:r>
          </w:p>
          <w:p w14:paraId="1EB35555">
            <w:pPr>
              <w:jc w:val="both"/>
              <w:rPr>
                <w:rFonts w:hint="eastAsia" w:ascii="宋体" w:hAnsi="宋体" w:eastAsia="宋体"/>
                <w:szCs w:val="21"/>
                <w:highlight w:val="none"/>
              </w:rPr>
            </w:pPr>
            <w:r>
              <w:rPr>
                <w:rFonts w:hint="eastAsia" w:ascii="宋体" w:hAnsi="宋体" w:eastAsia="宋体"/>
                <w:szCs w:val="21"/>
                <w:highlight w:val="none"/>
              </w:rPr>
              <w:t>③</w:t>
            </w:r>
            <w:r>
              <w:rPr>
                <w:rFonts w:hint="eastAsia" w:ascii="宋体" w:hAnsi="宋体" w:eastAsia="宋体"/>
                <w:szCs w:val="21"/>
                <w:highlight w:val="none"/>
                <w:lang w:eastAsia="zh-CN"/>
              </w:rPr>
              <w:t>制度</w:t>
            </w:r>
            <w:r>
              <w:rPr>
                <w:rFonts w:hint="eastAsia" w:ascii="宋体" w:hAnsi="宋体" w:eastAsia="宋体"/>
                <w:szCs w:val="21"/>
                <w:highlight w:val="none"/>
              </w:rPr>
              <w:t>响应方案较完整，可行性一般的，得</w:t>
            </w:r>
            <w:r>
              <w:rPr>
                <w:rFonts w:hint="default" w:ascii="宋体" w:hAnsi="宋体" w:eastAsia="宋体"/>
                <w:szCs w:val="21"/>
                <w:highlight w:val="none"/>
                <w:lang w:eastAsia="zh-CN"/>
              </w:rPr>
              <w:t>0.5</w:t>
            </w:r>
            <w:r>
              <w:rPr>
                <w:rFonts w:hint="eastAsia" w:ascii="宋体" w:hAnsi="宋体" w:eastAsia="宋体"/>
                <w:szCs w:val="21"/>
                <w:highlight w:val="none"/>
                <w:lang w:val="en-US" w:eastAsia="zh-CN"/>
              </w:rPr>
              <w:t>分</w:t>
            </w:r>
            <w:r>
              <w:rPr>
                <w:rFonts w:hint="eastAsia" w:ascii="宋体" w:hAnsi="宋体" w:eastAsia="宋体"/>
                <w:szCs w:val="21"/>
                <w:highlight w:val="none"/>
              </w:rPr>
              <w:t>；</w:t>
            </w:r>
          </w:p>
          <w:p w14:paraId="18786362">
            <w:pPr>
              <w:jc w:val="both"/>
              <w:rPr>
                <w:rFonts w:hint="eastAsia" w:ascii="宋体" w:hAnsi="宋体" w:eastAsia="宋体"/>
                <w:szCs w:val="21"/>
                <w:highlight w:val="none"/>
                <w:lang w:eastAsia="zh-CN"/>
              </w:rPr>
            </w:pPr>
            <w:r>
              <w:rPr>
                <w:rFonts w:hint="eastAsia" w:ascii="宋体" w:hAnsi="宋体" w:eastAsia="宋体"/>
                <w:szCs w:val="21"/>
                <w:highlight w:val="none"/>
              </w:rPr>
              <w:t>④</w:t>
            </w:r>
            <w:r>
              <w:rPr>
                <w:rFonts w:hint="eastAsia" w:ascii="宋体" w:hAnsi="宋体" w:eastAsia="宋体"/>
                <w:szCs w:val="21"/>
                <w:highlight w:val="none"/>
                <w:lang w:eastAsia="zh-CN"/>
              </w:rPr>
              <w:t>制度响应方案不完整，没有可行性的，不得分。</w:t>
            </w:r>
          </w:p>
          <w:p w14:paraId="704BEF0A">
            <w:pPr>
              <w:jc w:val="both"/>
              <w:rPr>
                <w:rFonts w:hint="eastAsia" w:ascii="宋体" w:hAnsi="宋体" w:eastAsia="宋体"/>
                <w:szCs w:val="21"/>
                <w:highlight w:val="none"/>
              </w:rPr>
            </w:pPr>
            <w:r>
              <w:rPr>
                <w:rFonts w:hint="eastAsia" w:ascii="宋体" w:hAnsi="宋体" w:eastAsia="宋体"/>
                <w:szCs w:val="21"/>
                <w:highlight w:val="none"/>
              </w:rPr>
              <w:t>未按要求提供方案或提供不清晰导致专家无法判断的不得分。</w:t>
            </w:r>
          </w:p>
        </w:tc>
      </w:tr>
      <w:tr w14:paraId="396A68A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0" w:hRule="atLeast"/>
          <w:jc w:val="center"/>
        </w:trPr>
        <w:tc>
          <w:tcPr>
            <w:tcW w:w="374" w:type="pct"/>
            <w:vMerge w:val="continue"/>
            <w:tcBorders>
              <w:top w:val="single" w:color="000000" w:sz="8" w:space="0"/>
              <w:left w:val="single" w:color="000000" w:sz="8" w:space="0"/>
              <w:bottom w:val="single" w:color="000000" w:sz="8" w:space="0"/>
              <w:right w:val="single" w:color="000000" w:sz="8" w:space="0"/>
            </w:tcBorders>
            <w:noWrap w:val="0"/>
            <w:vAlign w:val="center"/>
          </w:tcPr>
          <w:p w14:paraId="288C8ED3">
            <w:pPr>
              <w:keepNext w:val="0"/>
              <w:keepLines w:val="0"/>
              <w:pageBreakBefore w:val="0"/>
              <w:kinsoku/>
              <w:overflowPunct/>
              <w:topLinePunct w:val="0"/>
              <w:bidi w:val="0"/>
              <w:spacing w:line="240" w:lineRule="auto"/>
              <w:rPr>
                <w:rFonts w:hint="eastAsia" w:ascii="宋体" w:hAnsi="宋体" w:eastAsia="宋体" w:cs="宋体"/>
                <w:b/>
                <w:bCs/>
                <w:color w:val="0000FF"/>
                <w:sz w:val="22"/>
                <w:szCs w:val="22"/>
                <w:highlight w:val="none"/>
              </w:rPr>
            </w:pPr>
          </w:p>
        </w:tc>
        <w:tc>
          <w:tcPr>
            <w:tcW w:w="374" w:type="pct"/>
            <w:tcBorders>
              <w:top w:val="single" w:color="000000" w:sz="8" w:space="0"/>
              <w:left w:val="single" w:color="000000" w:sz="8" w:space="0"/>
              <w:bottom w:val="single" w:color="000000" w:sz="8" w:space="0"/>
              <w:right w:val="single" w:color="000000" w:sz="8" w:space="0"/>
            </w:tcBorders>
            <w:noWrap w:val="0"/>
            <w:vAlign w:val="top"/>
          </w:tcPr>
          <w:p w14:paraId="198A03EE">
            <w:pPr>
              <w:keepNext w:val="0"/>
              <w:keepLines w:val="0"/>
              <w:pageBreakBefore w:val="0"/>
              <w:kinsoku/>
              <w:wordWrap w:val="0"/>
              <w:overflowPunct/>
              <w:topLinePunct w:val="0"/>
              <w:bidi w:val="0"/>
              <w:snapToGrid/>
              <w:spacing w:line="240" w:lineRule="auto"/>
              <w:jc w:val="center"/>
              <w:rPr>
                <w:rFonts w:hint="eastAsia" w:ascii="宋体" w:hAnsi="宋体" w:eastAsia="宋体" w:cs="宋体"/>
                <w:color w:val="auto"/>
                <w:sz w:val="22"/>
                <w:szCs w:val="22"/>
                <w:highlight w:val="none"/>
                <w:lang w:val="en-US" w:eastAsia="zh-CN"/>
              </w:rPr>
            </w:pPr>
            <w:r>
              <w:rPr>
                <w:rFonts w:hint="eastAsia" w:ascii="宋体" w:hAnsi="宋体" w:eastAsia="宋体" w:cs="宋体"/>
                <w:sz w:val="22"/>
                <w:szCs w:val="22"/>
                <w:highlight w:val="none"/>
                <w:lang w:val="en-US" w:eastAsia="zh-CN"/>
              </w:rPr>
              <w:t>5</w:t>
            </w:r>
          </w:p>
        </w:tc>
        <w:tc>
          <w:tcPr>
            <w:tcW w:w="1090" w:type="pct"/>
            <w:tcBorders>
              <w:top w:val="single" w:color="000000" w:sz="8" w:space="0"/>
              <w:left w:val="single" w:color="000000" w:sz="8" w:space="0"/>
              <w:bottom w:val="single" w:color="000000" w:sz="8" w:space="0"/>
              <w:right w:val="single" w:color="000000" w:sz="8" w:space="0"/>
            </w:tcBorders>
            <w:noWrap w:val="0"/>
            <w:vAlign w:val="top"/>
          </w:tcPr>
          <w:p w14:paraId="74279779">
            <w:pPr>
              <w:keepNext w:val="0"/>
              <w:keepLines w:val="0"/>
              <w:pageBreakBefore w:val="0"/>
              <w:kinsoku/>
              <w:wordWrap w:val="0"/>
              <w:overflowPunct/>
              <w:topLinePunct w:val="0"/>
              <w:bidi w:val="0"/>
              <w:snapToGrid/>
              <w:spacing w:line="240" w:lineRule="auto"/>
              <w:jc w:val="center"/>
              <w:rPr>
                <w:rFonts w:hint="eastAsia" w:ascii="宋体" w:hAnsi="宋体" w:eastAsia="宋体" w:cs="宋体"/>
                <w:color w:val="auto"/>
                <w:sz w:val="22"/>
                <w:szCs w:val="22"/>
                <w:highlight w:val="none"/>
              </w:rPr>
            </w:pPr>
            <w:r>
              <w:rPr>
                <w:rFonts w:hint="eastAsia" w:ascii="宋体" w:hAnsi="宋体" w:eastAsia="宋体" w:cs="宋体"/>
                <w:sz w:val="22"/>
                <w:szCs w:val="22"/>
                <w:highlight w:val="none"/>
              </w:rPr>
              <w:t>项目负责人（仅1人）</w:t>
            </w:r>
          </w:p>
        </w:tc>
        <w:tc>
          <w:tcPr>
            <w:tcW w:w="477" w:type="pct"/>
            <w:tcBorders>
              <w:top w:val="single" w:color="000000" w:sz="8" w:space="0"/>
              <w:left w:val="single" w:color="000000" w:sz="8" w:space="0"/>
              <w:bottom w:val="single" w:color="000000" w:sz="8" w:space="0"/>
              <w:right w:val="single" w:color="000000" w:sz="8" w:space="0"/>
            </w:tcBorders>
            <w:noWrap w:val="0"/>
            <w:vAlign w:val="top"/>
          </w:tcPr>
          <w:p w14:paraId="536AB57D">
            <w:pPr>
              <w:keepNext w:val="0"/>
              <w:keepLines w:val="0"/>
              <w:pageBreakBefore w:val="0"/>
              <w:kinsoku/>
              <w:wordWrap w:val="0"/>
              <w:overflowPunct/>
              <w:topLinePunct w:val="0"/>
              <w:bidi w:val="0"/>
              <w:snapToGrid/>
              <w:spacing w:line="240" w:lineRule="auto"/>
              <w:jc w:val="center"/>
              <w:rPr>
                <w:rFonts w:hint="default" w:ascii="宋体" w:hAnsi="宋体" w:eastAsia="宋体" w:cs="宋体"/>
                <w:color w:val="auto"/>
                <w:sz w:val="22"/>
                <w:szCs w:val="22"/>
                <w:highlight w:val="none"/>
                <w:lang w:eastAsia="zh-CN"/>
              </w:rPr>
            </w:pPr>
            <w:r>
              <w:rPr>
                <w:rFonts w:hint="default" w:ascii="宋体" w:hAnsi="宋体" w:cs="宋体"/>
                <w:sz w:val="22"/>
                <w:szCs w:val="22"/>
                <w:highlight w:val="none"/>
                <w:lang w:eastAsia="zh-CN"/>
              </w:rPr>
              <w:t>6</w:t>
            </w:r>
          </w:p>
        </w:tc>
        <w:tc>
          <w:tcPr>
            <w:tcW w:w="2683" w:type="pct"/>
            <w:tcBorders>
              <w:top w:val="single" w:color="000000" w:sz="8" w:space="0"/>
              <w:left w:val="single" w:color="000000" w:sz="8" w:space="0"/>
              <w:bottom w:val="single" w:color="000000" w:sz="8" w:space="0"/>
              <w:right w:val="single" w:color="000000" w:sz="8" w:space="0"/>
            </w:tcBorders>
            <w:noWrap w:val="0"/>
            <w:vAlign w:val="top"/>
          </w:tcPr>
          <w:p w14:paraId="61E25FBF">
            <w:pPr>
              <w:jc w:val="both"/>
              <w:rPr>
                <w:rFonts w:hint="default" w:ascii="宋体" w:hAnsi="宋体" w:eastAsia="宋体"/>
                <w:b/>
                <w:bCs/>
                <w:szCs w:val="21"/>
                <w:highlight w:val="none"/>
              </w:rPr>
            </w:pPr>
            <w:r>
              <w:rPr>
                <w:rFonts w:hint="eastAsia" w:ascii="宋体" w:hAnsi="宋体" w:eastAsia="宋体"/>
                <w:b/>
                <w:bCs/>
                <w:szCs w:val="21"/>
                <w:highlight w:val="none"/>
                <w:lang w:val="en-US" w:eastAsia="zh-CN"/>
              </w:rPr>
              <w:t>（一）</w:t>
            </w:r>
            <w:r>
              <w:rPr>
                <w:rFonts w:hint="eastAsia" w:ascii="宋体" w:hAnsi="宋体" w:eastAsia="宋体"/>
                <w:b/>
                <w:bCs/>
                <w:szCs w:val="21"/>
                <w:highlight w:val="none"/>
              </w:rPr>
              <w:t>评审内容</w:t>
            </w:r>
            <w:r>
              <w:rPr>
                <w:rFonts w:hint="default" w:ascii="宋体" w:hAnsi="宋体" w:eastAsia="宋体"/>
                <w:b/>
                <w:bCs/>
                <w:szCs w:val="21"/>
                <w:highlight w:val="none"/>
              </w:rPr>
              <w:t>：</w:t>
            </w:r>
          </w:p>
          <w:p w14:paraId="73F6925E">
            <w:pPr>
              <w:jc w:val="both"/>
              <w:rPr>
                <w:rFonts w:hint="eastAsia" w:ascii="宋体" w:hAnsi="宋体" w:eastAsia="宋体"/>
                <w:szCs w:val="21"/>
                <w:highlight w:val="none"/>
              </w:rPr>
            </w:pPr>
            <w:r>
              <w:rPr>
                <w:rFonts w:hint="eastAsia" w:ascii="宋体" w:hAnsi="宋体" w:eastAsia="宋体"/>
                <w:szCs w:val="21"/>
                <w:highlight w:val="none"/>
              </w:rPr>
              <w:t>投标人拟派本项目的项目负责人：</w:t>
            </w:r>
          </w:p>
          <w:p w14:paraId="134D2757">
            <w:pPr>
              <w:jc w:val="both"/>
              <w:rPr>
                <w:rFonts w:hint="eastAsia" w:ascii="宋体" w:hAnsi="宋体" w:eastAsia="宋体"/>
                <w:szCs w:val="21"/>
                <w:highlight w:val="none"/>
              </w:rPr>
            </w:pPr>
            <w:r>
              <w:rPr>
                <w:rFonts w:hint="eastAsia" w:ascii="宋体" w:hAnsi="宋体" w:eastAsia="宋体"/>
                <w:szCs w:val="21"/>
                <w:highlight w:val="none"/>
              </w:rPr>
              <w:t>①获得</w:t>
            </w:r>
            <w:r>
              <w:rPr>
                <w:rFonts w:hint="eastAsia" w:ascii="宋体" w:hAnsi="宋体" w:eastAsia="宋体"/>
                <w:szCs w:val="21"/>
                <w:highlight w:val="none"/>
                <w:lang w:eastAsia="zh-CN"/>
              </w:rPr>
              <w:t>本科</w:t>
            </w:r>
            <w:r>
              <w:rPr>
                <w:rFonts w:hint="eastAsia" w:ascii="宋体" w:hAnsi="宋体" w:eastAsia="宋体"/>
                <w:szCs w:val="21"/>
                <w:highlight w:val="none"/>
              </w:rPr>
              <w:t>或以上学历得</w:t>
            </w:r>
            <w:r>
              <w:rPr>
                <w:rFonts w:hint="default" w:ascii="宋体" w:hAnsi="宋体" w:eastAsia="宋体"/>
                <w:szCs w:val="21"/>
                <w:highlight w:val="none"/>
                <w:lang w:eastAsia="zh-CN"/>
              </w:rPr>
              <w:t>1</w:t>
            </w:r>
            <w:r>
              <w:rPr>
                <w:rFonts w:hint="eastAsia" w:ascii="宋体" w:hAnsi="宋体" w:eastAsia="宋体"/>
                <w:szCs w:val="21"/>
                <w:highlight w:val="none"/>
                <w:lang w:val="en-US" w:eastAsia="zh-CN"/>
              </w:rPr>
              <w:t>分</w:t>
            </w:r>
            <w:r>
              <w:rPr>
                <w:rFonts w:hint="eastAsia" w:ascii="宋体" w:hAnsi="宋体" w:eastAsia="宋体"/>
                <w:szCs w:val="21"/>
                <w:highlight w:val="none"/>
              </w:rPr>
              <w:t>；</w:t>
            </w:r>
          </w:p>
          <w:p w14:paraId="6DBFB6E5">
            <w:pPr>
              <w:jc w:val="both"/>
              <w:rPr>
                <w:rFonts w:hint="eastAsia" w:ascii="宋体" w:hAnsi="宋体" w:eastAsia="宋体"/>
                <w:szCs w:val="21"/>
                <w:highlight w:val="none"/>
              </w:rPr>
            </w:pPr>
            <w:r>
              <w:rPr>
                <w:rFonts w:hint="eastAsia" w:ascii="宋体" w:hAnsi="宋体" w:eastAsia="宋体"/>
                <w:szCs w:val="21"/>
                <w:highlight w:val="none"/>
              </w:rPr>
              <w:t>②获得</w:t>
            </w:r>
            <w:r>
              <w:rPr>
                <w:rFonts w:hint="eastAsia" w:ascii="宋体" w:hAnsi="宋体" w:eastAsia="宋体"/>
                <w:color w:val="auto"/>
                <w:szCs w:val="21"/>
                <w:highlight w:val="yellow"/>
              </w:rPr>
              <w:t>人社部(或人社部备案的评价机构)</w:t>
            </w:r>
            <w:r>
              <w:rPr>
                <w:rFonts w:hint="eastAsia" w:ascii="宋体" w:hAnsi="宋体" w:eastAsia="宋体"/>
                <w:szCs w:val="21"/>
                <w:highlight w:val="none"/>
              </w:rPr>
              <w:t>颁发的中式烹调师一级（高级技师）</w:t>
            </w:r>
            <w:r>
              <w:rPr>
                <w:rFonts w:hint="eastAsia" w:ascii="宋体" w:hAnsi="宋体" w:eastAsia="宋体"/>
                <w:szCs w:val="21"/>
                <w:highlight w:val="none"/>
                <w:lang w:val="en-US" w:eastAsia="zh-CN"/>
              </w:rPr>
              <w:t>证书</w:t>
            </w:r>
            <w:r>
              <w:rPr>
                <w:rFonts w:hint="eastAsia" w:ascii="宋体" w:hAnsi="宋体" w:eastAsia="宋体"/>
                <w:szCs w:val="21"/>
                <w:highlight w:val="none"/>
              </w:rPr>
              <w:t>得</w:t>
            </w:r>
            <w:r>
              <w:rPr>
                <w:rFonts w:hint="default" w:ascii="宋体" w:hAnsi="宋体" w:eastAsia="宋体"/>
                <w:szCs w:val="21"/>
                <w:highlight w:val="none"/>
                <w:lang w:eastAsia="zh-CN"/>
              </w:rPr>
              <w:t>1</w:t>
            </w:r>
            <w:r>
              <w:rPr>
                <w:rFonts w:hint="eastAsia" w:ascii="宋体" w:hAnsi="宋体" w:eastAsia="宋体"/>
                <w:szCs w:val="21"/>
                <w:highlight w:val="none"/>
                <w:lang w:val="en-US" w:eastAsia="zh-CN"/>
              </w:rPr>
              <w:t>分</w:t>
            </w:r>
            <w:r>
              <w:rPr>
                <w:rFonts w:hint="eastAsia" w:ascii="宋体" w:hAnsi="宋体" w:eastAsia="宋体"/>
                <w:szCs w:val="21"/>
                <w:highlight w:val="none"/>
              </w:rPr>
              <w:t xml:space="preserve">； </w:t>
            </w:r>
          </w:p>
          <w:p w14:paraId="2E6C8067">
            <w:pPr>
              <w:jc w:val="both"/>
              <w:rPr>
                <w:rFonts w:hint="eastAsia" w:ascii="宋体" w:hAnsi="宋体" w:eastAsia="宋体"/>
                <w:szCs w:val="21"/>
                <w:highlight w:val="none"/>
                <w:lang w:eastAsia="zh-CN"/>
              </w:rPr>
            </w:pPr>
            <w:r>
              <w:rPr>
                <w:rFonts w:hint="eastAsia" w:ascii="宋体" w:hAnsi="宋体" w:eastAsia="宋体"/>
                <w:szCs w:val="21"/>
                <w:highlight w:val="none"/>
              </w:rPr>
              <w:t>③获</w:t>
            </w:r>
            <w:r>
              <w:rPr>
                <w:rFonts w:hint="eastAsia" w:ascii="宋体" w:hAnsi="宋体" w:eastAsia="宋体"/>
                <w:szCs w:val="21"/>
                <w:highlight w:val="none"/>
                <w:lang w:eastAsia="zh-CN"/>
              </w:rPr>
              <w:t>得</w:t>
            </w:r>
            <w:r>
              <w:rPr>
                <w:rFonts w:hint="eastAsia" w:ascii="宋体" w:hAnsi="宋体" w:eastAsia="宋体"/>
                <w:szCs w:val="21"/>
                <w:highlight w:val="yellow"/>
                <w:lang w:eastAsia="zh-CN"/>
              </w:rPr>
              <w:t>人社部(或人社部备案的评价机构)</w:t>
            </w:r>
            <w:r>
              <w:rPr>
                <w:rFonts w:hint="eastAsia" w:ascii="宋体" w:hAnsi="宋体" w:eastAsia="宋体"/>
                <w:szCs w:val="21"/>
                <w:highlight w:val="none"/>
                <w:lang w:eastAsia="zh-CN"/>
              </w:rPr>
              <w:t>颁发的健康管理师三级或以上</w:t>
            </w:r>
            <w:r>
              <w:rPr>
                <w:rFonts w:hint="eastAsia" w:ascii="宋体" w:hAnsi="宋体" w:eastAsia="宋体"/>
                <w:szCs w:val="21"/>
                <w:highlight w:val="none"/>
                <w:lang w:val="en-US" w:eastAsia="zh-CN"/>
              </w:rPr>
              <w:t>证书</w:t>
            </w:r>
            <w:r>
              <w:rPr>
                <w:rFonts w:hint="eastAsia" w:ascii="宋体" w:hAnsi="宋体" w:eastAsia="宋体"/>
                <w:szCs w:val="21"/>
                <w:highlight w:val="none"/>
                <w:lang w:eastAsia="zh-CN"/>
              </w:rPr>
              <w:t>得</w:t>
            </w:r>
            <w:r>
              <w:rPr>
                <w:rFonts w:hint="default" w:ascii="宋体" w:hAnsi="宋体" w:eastAsia="宋体"/>
                <w:szCs w:val="21"/>
                <w:highlight w:val="none"/>
                <w:lang w:eastAsia="zh-CN"/>
              </w:rPr>
              <w:t>1</w:t>
            </w:r>
            <w:r>
              <w:rPr>
                <w:rFonts w:hint="eastAsia" w:ascii="宋体" w:hAnsi="宋体" w:eastAsia="宋体"/>
                <w:szCs w:val="21"/>
                <w:highlight w:val="none"/>
                <w:lang w:val="en-US" w:eastAsia="zh-CN"/>
              </w:rPr>
              <w:t>分</w:t>
            </w:r>
            <w:r>
              <w:rPr>
                <w:rFonts w:hint="eastAsia" w:ascii="宋体" w:hAnsi="宋体" w:eastAsia="宋体"/>
                <w:szCs w:val="21"/>
                <w:highlight w:val="none"/>
                <w:lang w:eastAsia="zh-CN"/>
              </w:rPr>
              <w:t>；</w:t>
            </w:r>
          </w:p>
          <w:p w14:paraId="1C16C41E">
            <w:pPr>
              <w:jc w:val="both"/>
              <w:rPr>
                <w:rFonts w:hint="eastAsia" w:ascii="宋体" w:hAnsi="宋体" w:eastAsia="宋体"/>
                <w:szCs w:val="21"/>
                <w:highlight w:val="none"/>
                <w:lang w:eastAsia="zh-CN"/>
              </w:rPr>
            </w:pPr>
            <w:r>
              <w:rPr>
                <w:rFonts w:hint="eastAsia" w:ascii="宋体" w:hAnsi="宋体" w:eastAsia="宋体"/>
                <w:szCs w:val="21"/>
                <w:highlight w:val="none"/>
                <w:lang w:eastAsia="zh-CN"/>
              </w:rPr>
              <w:t>④获得</w:t>
            </w:r>
            <w:r>
              <w:rPr>
                <w:rFonts w:hint="eastAsia" w:ascii="宋体" w:hAnsi="宋体" w:eastAsia="宋体"/>
                <w:szCs w:val="21"/>
                <w:highlight w:val="yellow"/>
                <w:lang w:eastAsia="zh-CN"/>
              </w:rPr>
              <w:t>人社部(或人社部备案的评价机构)</w:t>
            </w:r>
            <w:r>
              <w:rPr>
                <w:rFonts w:hint="eastAsia" w:ascii="宋体" w:hAnsi="宋体" w:eastAsia="宋体"/>
                <w:szCs w:val="21"/>
                <w:highlight w:val="none"/>
                <w:lang w:eastAsia="zh-CN"/>
              </w:rPr>
              <w:t>颁发的公共营养师</w:t>
            </w:r>
            <w:r>
              <w:rPr>
                <w:rFonts w:hint="default" w:ascii="宋体" w:hAnsi="宋体"/>
                <w:szCs w:val="21"/>
                <w:highlight w:val="none"/>
                <w:lang w:eastAsia="zh-CN"/>
              </w:rPr>
              <w:t>二</w:t>
            </w:r>
            <w:r>
              <w:rPr>
                <w:rFonts w:hint="eastAsia" w:ascii="宋体" w:hAnsi="宋体" w:eastAsia="宋体"/>
                <w:szCs w:val="21"/>
                <w:highlight w:val="none"/>
                <w:lang w:eastAsia="zh-CN"/>
              </w:rPr>
              <w:t>级或以上</w:t>
            </w:r>
            <w:r>
              <w:rPr>
                <w:rFonts w:hint="eastAsia" w:ascii="宋体" w:hAnsi="宋体" w:eastAsia="宋体"/>
                <w:szCs w:val="21"/>
                <w:highlight w:val="none"/>
                <w:lang w:val="en-US" w:eastAsia="zh-CN"/>
              </w:rPr>
              <w:t>证书</w:t>
            </w:r>
            <w:r>
              <w:rPr>
                <w:rFonts w:hint="eastAsia" w:ascii="宋体" w:hAnsi="宋体" w:eastAsia="宋体"/>
                <w:szCs w:val="21"/>
                <w:highlight w:val="none"/>
                <w:lang w:eastAsia="zh-CN"/>
              </w:rPr>
              <w:t>得</w:t>
            </w:r>
            <w:r>
              <w:rPr>
                <w:rFonts w:hint="default" w:ascii="宋体" w:hAnsi="宋体" w:eastAsia="宋体"/>
                <w:szCs w:val="21"/>
                <w:highlight w:val="none"/>
                <w:lang w:eastAsia="zh-CN"/>
              </w:rPr>
              <w:t>1</w:t>
            </w:r>
            <w:r>
              <w:rPr>
                <w:rFonts w:hint="eastAsia" w:ascii="宋体" w:hAnsi="宋体" w:eastAsia="宋体"/>
                <w:szCs w:val="21"/>
                <w:highlight w:val="none"/>
                <w:lang w:val="en-US" w:eastAsia="zh-CN"/>
              </w:rPr>
              <w:t>分</w:t>
            </w:r>
            <w:r>
              <w:rPr>
                <w:rFonts w:hint="eastAsia" w:ascii="宋体" w:hAnsi="宋体" w:eastAsia="宋体"/>
                <w:szCs w:val="21"/>
                <w:highlight w:val="none"/>
                <w:lang w:eastAsia="zh-CN"/>
              </w:rPr>
              <w:t>；</w:t>
            </w:r>
          </w:p>
          <w:p w14:paraId="17E91204">
            <w:pPr>
              <w:jc w:val="both"/>
              <w:rPr>
                <w:rFonts w:hint="eastAsia" w:ascii="宋体" w:hAnsi="宋体" w:eastAsia="宋体"/>
                <w:szCs w:val="21"/>
                <w:highlight w:val="none"/>
                <w:lang w:eastAsia="zh-CN"/>
              </w:rPr>
            </w:pPr>
            <w:r>
              <w:rPr>
                <w:rFonts w:hint="eastAsia" w:ascii="宋体" w:hAnsi="宋体" w:eastAsia="宋体"/>
                <w:szCs w:val="21"/>
                <w:highlight w:val="none"/>
                <w:lang w:eastAsia="zh-CN"/>
              </w:rPr>
              <w:t>⑤具有</w:t>
            </w:r>
            <w:r>
              <w:rPr>
                <w:rFonts w:hint="eastAsia" w:ascii="宋体" w:hAnsi="宋体" w:eastAsia="宋体"/>
                <w:szCs w:val="21"/>
                <w:highlight w:val="yellow"/>
                <w:lang w:eastAsia="zh-CN"/>
              </w:rPr>
              <w:t>人社部(或人社部备案的评价机构)</w:t>
            </w:r>
            <w:r>
              <w:rPr>
                <w:rFonts w:hint="eastAsia" w:ascii="宋体" w:hAnsi="宋体" w:eastAsia="宋体"/>
                <w:szCs w:val="21"/>
                <w:highlight w:val="none"/>
                <w:lang w:eastAsia="zh-CN"/>
              </w:rPr>
              <w:t>企业人力资源管理师</w:t>
            </w:r>
            <w:r>
              <w:rPr>
                <w:rFonts w:hint="eastAsia" w:ascii="宋体" w:hAnsi="宋体" w:eastAsia="宋体"/>
                <w:szCs w:val="21"/>
                <w:highlight w:val="yellow"/>
                <w:lang w:eastAsia="zh-CN"/>
              </w:rPr>
              <w:t>（三级/高级工）</w:t>
            </w:r>
            <w:r>
              <w:rPr>
                <w:rFonts w:hint="eastAsia" w:ascii="宋体" w:hAnsi="宋体" w:eastAsia="宋体"/>
                <w:szCs w:val="21"/>
                <w:highlight w:val="none"/>
                <w:lang w:val="en-US" w:eastAsia="zh-CN"/>
              </w:rPr>
              <w:t>得</w:t>
            </w:r>
            <w:r>
              <w:rPr>
                <w:rFonts w:hint="default" w:ascii="宋体" w:hAnsi="宋体" w:eastAsia="宋体"/>
                <w:szCs w:val="21"/>
                <w:highlight w:val="none"/>
                <w:lang w:eastAsia="zh-CN"/>
              </w:rPr>
              <w:t>1</w:t>
            </w:r>
            <w:r>
              <w:rPr>
                <w:rFonts w:hint="eastAsia" w:ascii="宋体" w:hAnsi="宋体" w:eastAsia="宋体"/>
                <w:szCs w:val="21"/>
                <w:highlight w:val="none"/>
                <w:lang w:val="en-US" w:eastAsia="zh-CN"/>
              </w:rPr>
              <w:t>分</w:t>
            </w:r>
            <w:r>
              <w:rPr>
                <w:rFonts w:hint="eastAsia" w:ascii="宋体" w:hAnsi="宋体" w:eastAsia="宋体"/>
                <w:szCs w:val="21"/>
                <w:highlight w:val="none"/>
                <w:lang w:eastAsia="zh-CN"/>
              </w:rPr>
              <w:t>；</w:t>
            </w:r>
          </w:p>
          <w:p w14:paraId="18334027">
            <w:pPr>
              <w:jc w:val="both"/>
              <w:rPr>
                <w:rFonts w:hint="eastAsia" w:ascii="宋体" w:hAnsi="宋体" w:eastAsia="宋体"/>
                <w:szCs w:val="21"/>
                <w:highlight w:val="none"/>
                <w:lang w:eastAsia="zh-CN"/>
              </w:rPr>
            </w:pPr>
            <w:r>
              <w:rPr>
                <w:rFonts w:hint="eastAsia" w:ascii="宋体" w:hAnsi="宋体" w:eastAsia="宋体"/>
                <w:szCs w:val="21"/>
                <w:highlight w:val="none"/>
                <w:lang w:eastAsia="zh-CN"/>
              </w:rPr>
              <w:t>⑥具有餐饮服务项目管理经验十年</w:t>
            </w:r>
            <w:r>
              <w:rPr>
                <w:rFonts w:hint="eastAsia" w:ascii="宋体" w:hAnsi="宋体" w:eastAsia="宋体"/>
                <w:szCs w:val="21"/>
                <w:highlight w:val="none"/>
                <w:lang w:val="en-US" w:eastAsia="zh-CN"/>
              </w:rPr>
              <w:t>或</w:t>
            </w:r>
            <w:r>
              <w:rPr>
                <w:rFonts w:hint="eastAsia" w:ascii="宋体" w:hAnsi="宋体" w:eastAsia="宋体"/>
                <w:szCs w:val="21"/>
                <w:highlight w:val="none"/>
                <w:lang w:eastAsia="zh-CN"/>
              </w:rPr>
              <w:t>以上的，得</w:t>
            </w:r>
            <w:r>
              <w:rPr>
                <w:rFonts w:hint="default" w:ascii="宋体" w:hAnsi="宋体" w:eastAsia="宋体"/>
                <w:szCs w:val="21"/>
                <w:highlight w:val="none"/>
                <w:lang w:eastAsia="zh-CN"/>
              </w:rPr>
              <w:t>1</w:t>
            </w:r>
            <w:r>
              <w:rPr>
                <w:rFonts w:hint="eastAsia" w:ascii="宋体" w:hAnsi="宋体" w:eastAsia="宋体"/>
                <w:szCs w:val="21"/>
                <w:highlight w:val="none"/>
                <w:lang w:val="en-US" w:eastAsia="zh-CN"/>
              </w:rPr>
              <w:t>分</w:t>
            </w:r>
            <w:r>
              <w:rPr>
                <w:rFonts w:hint="eastAsia" w:ascii="宋体" w:hAnsi="宋体"/>
                <w:szCs w:val="21"/>
                <w:highlight w:val="none"/>
                <w:lang w:val="en-US" w:eastAsia="zh-CN"/>
              </w:rPr>
              <w:t>。</w:t>
            </w:r>
          </w:p>
          <w:p w14:paraId="424EA08E">
            <w:pPr>
              <w:jc w:val="both"/>
              <w:rPr>
                <w:rFonts w:hint="eastAsia" w:ascii="宋体" w:hAnsi="宋体" w:eastAsia="宋体"/>
                <w:szCs w:val="21"/>
                <w:highlight w:val="none"/>
              </w:rPr>
            </w:pPr>
            <w:r>
              <w:rPr>
                <w:rFonts w:hint="eastAsia" w:ascii="宋体" w:hAnsi="宋体" w:eastAsia="宋体"/>
                <w:szCs w:val="21"/>
                <w:highlight w:val="none"/>
              </w:rPr>
              <w:t>以上最高累计得</w:t>
            </w:r>
            <w:r>
              <w:rPr>
                <w:rFonts w:hint="default" w:ascii="宋体" w:hAnsi="宋体" w:eastAsia="宋体"/>
                <w:szCs w:val="21"/>
                <w:highlight w:val="none"/>
                <w:lang w:eastAsia="zh-CN"/>
              </w:rPr>
              <w:t>6</w:t>
            </w:r>
            <w:r>
              <w:rPr>
                <w:rFonts w:hint="eastAsia" w:ascii="宋体" w:hAnsi="宋体" w:eastAsia="宋体"/>
                <w:szCs w:val="21"/>
                <w:highlight w:val="none"/>
                <w:lang w:val="en-US" w:eastAsia="zh-CN"/>
              </w:rPr>
              <w:t>分</w:t>
            </w:r>
            <w:r>
              <w:rPr>
                <w:rFonts w:hint="eastAsia" w:ascii="宋体" w:hAnsi="宋体" w:eastAsia="宋体"/>
                <w:szCs w:val="21"/>
                <w:highlight w:val="none"/>
              </w:rPr>
              <w:t xml:space="preserve">。 </w:t>
            </w:r>
          </w:p>
          <w:p w14:paraId="6C84218F">
            <w:pPr>
              <w:jc w:val="both"/>
              <w:rPr>
                <w:rFonts w:hint="eastAsia" w:ascii="宋体" w:hAnsi="宋体" w:eastAsia="宋体"/>
                <w:b/>
                <w:bCs/>
                <w:szCs w:val="21"/>
                <w:highlight w:val="none"/>
              </w:rPr>
            </w:pPr>
            <w:r>
              <w:rPr>
                <w:rFonts w:hint="eastAsia" w:ascii="宋体" w:hAnsi="宋体" w:eastAsia="宋体"/>
                <w:b/>
                <w:bCs/>
                <w:szCs w:val="21"/>
                <w:highlight w:val="none"/>
                <w:lang w:val="en-US" w:eastAsia="zh-CN"/>
              </w:rPr>
              <w:t>（二）</w:t>
            </w:r>
            <w:r>
              <w:rPr>
                <w:rFonts w:hint="eastAsia" w:ascii="宋体" w:hAnsi="宋体" w:eastAsia="宋体"/>
                <w:b/>
                <w:bCs/>
                <w:szCs w:val="21"/>
                <w:highlight w:val="none"/>
              </w:rPr>
              <w:t>评审依据：</w:t>
            </w:r>
          </w:p>
          <w:p w14:paraId="4A17B481">
            <w:pPr>
              <w:jc w:val="both"/>
              <w:rPr>
                <w:rFonts w:hint="eastAsia" w:ascii="宋体" w:hAnsi="宋体" w:eastAsia="宋体"/>
                <w:szCs w:val="21"/>
                <w:highlight w:val="none"/>
              </w:rPr>
            </w:pPr>
            <w:r>
              <w:rPr>
                <w:rFonts w:hint="default" w:ascii="宋体" w:hAnsi="宋体" w:eastAsia="宋体"/>
                <w:szCs w:val="21"/>
                <w:highlight w:val="none"/>
                <w:lang w:eastAsia="zh-CN"/>
              </w:rPr>
              <w:t>①</w:t>
            </w:r>
            <w:r>
              <w:rPr>
                <w:rFonts w:hint="eastAsia" w:ascii="宋体" w:hAnsi="宋体" w:eastAsia="宋体"/>
                <w:szCs w:val="21"/>
                <w:highlight w:val="none"/>
              </w:rPr>
              <w:t>提供投标人为</w:t>
            </w:r>
            <w:r>
              <w:rPr>
                <w:rFonts w:hint="eastAsia" w:ascii="宋体" w:hAnsi="宋体" w:eastAsia="宋体"/>
                <w:szCs w:val="21"/>
                <w:highlight w:val="none"/>
                <w:lang w:val="en-US" w:eastAsia="zh-CN"/>
              </w:rPr>
              <w:t>拟派人员</w:t>
            </w:r>
            <w:r>
              <w:rPr>
                <w:rFonts w:hint="eastAsia" w:ascii="宋体" w:hAnsi="宋体" w:eastAsia="宋体"/>
                <w:szCs w:val="21"/>
                <w:highlight w:val="none"/>
              </w:rPr>
              <w:t>缴纳的近3个月社保证明扫描件（以养老保险为准，如开标日上1个月的社保材料因社保部门原因暂时无法取得，则可以往前顺延1个月）；</w:t>
            </w:r>
            <w:r>
              <w:rPr>
                <w:rFonts w:hint="eastAsia" w:ascii="宋体" w:hAnsi="宋体" w:eastAsia="宋体"/>
                <w:szCs w:val="21"/>
                <w:highlight w:val="none"/>
                <w:lang w:eastAsia="zh-CN"/>
              </w:rPr>
              <w:t>投标人若为新成立</w:t>
            </w:r>
            <w:r>
              <w:rPr>
                <w:rFonts w:hint="eastAsia" w:ascii="宋体" w:hAnsi="宋体"/>
                <w:szCs w:val="21"/>
                <w:highlight w:val="none"/>
                <w:lang w:eastAsia="zh-CN"/>
              </w:rPr>
              <w:t>的企业：</w:t>
            </w:r>
            <w:r>
              <w:rPr>
                <w:rFonts w:hint="eastAsia" w:ascii="宋体" w:hAnsi="宋体" w:eastAsia="宋体"/>
                <w:szCs w:val="21"/>
                <w:highlight w:val="none"/>
                <w:lang w:eastAsia="zh-CN"/>
              </w:rPr>
              <w:t>成立时间不足3个月的</w:t>
            </w:r>
            <w:r>
              <w:rPr>
                <w:rFonts w:hint="eastAsia" w:ascii="宋体" w:hAnsi="宋体"/>
                <w:szCs w:val="21"/>
                <w:highlight w:val="none"/>
                <w:lang w:eastAsia="zh-CN"/>
              </w:rPr>
              <w:t>，</w:t>
            </w:r>
            <w:r>
              <w:rPr>
                <w:rFonts w:hint="eastAsia" w:ascii="宋体" w:hAnsi="宋体" w:eastAsia="宋体"/>
                <w:szCs w:val="21"/>
                <w:highlight w:val="none"/>
                <w:lang w:eastAsia="zh-CN"/>
              </w:rPr>
              <w:t>按成立时限提供；成立时间不足1个月的</w:t>
            </w:r>
            <w:r>
              <w:rPr>
                <w:rFonts w:hint="eastAsia" w:ascii="宋体" w:hAnsi="宋体"/>
                <w:szCs w:val="21"/>
                <w:highlight w:val="none"/>
                <w:lang w:eastAsia="zh-CN"/>
              </w:rPr>
              <w:t>，</w:t>
            </w:r>
            <w:r>
              <w:rPr>
                <w:rFonts w:hint="eastAsia" w:ascii="宋体" w:hAnsi="宋体" w:eastAsia="宋体"/>
                <w:szCs w:val="21"/>
                <w:highlight w:val="none"/>
                <w:lang w:eastAsia="zh-CN"/>
              </w:rPr>
              <w:t>提供承诺函承诺为投标人自有员工</w:t>
            </w:r>
            <w:r>
              <w:rPr>
                <w:rFonts w:hint="eastAsia" w:ascii="宋体" w:hAnsi="宋体"/>
                <w:szCs w:val="21"/>
                <w:highlight w:val="none"/>
                <w:lang w:eastAsia="zh-CN"/>
              </w:rPr>
              <w:t>。</w:t>
            </w:r>
          </w:p>
          <w:p w14:paraId="0AABFA53">
            <w:pPr>
              <w:jc w:val="both"/>
              <w:rPr>
                <w:rFonts w:hint="eastAsia" w:ascii="宋体" w:hAnsi="宋体" w:eastAsia="宋体"/>
                <w:szCs w:val="21"/>
                <w:highlight w:val="none"/>
              </w:rPr>
            </w:pPr>
            <w:r>
              <w:rPr>
                <w:rFonts w:hint="eastAsia" w:ascii="宋体" w:hAnsi="宋体" w:eastAsia="宋体"/>
                <w:szCs w:val="21"/>
                <w:highlight w:val="none"/>
              </w:rPr>
              <w:t>②涉及学历</w:t>
            </w:r>
            <w:r>
              <w:rPr>
                <w:rFonts w:hint="eastAsia" w:ascii="宋体" w:hAnsi="宋体" w:eastAsia="宋体"/>
                <w:szCs w:val="21"/>
                <w:highlight w:val="none"/>
                <w:lang w:eastAsia="zh-CN"/>
              </w:rPr>
              <w:t>，</w:t>
            </w:r>
            <w:r>
              <w:rPr>
                <w:rFonts w:hint="eastAsia" w:ascii="宋体" w:hAnsi="宋体" w:eastAsia="宋体"/>
                <w:szCs w:val="21"/>
                <w:highlight w:val="none"/>
              </w:rPr>
              <w:t>要求提供证书扫描件以及学信网查询记录。对于较早颁发的学历证书</w:t>
            </w:r>
            <w:r>
              <w:rPr>
                <w:rFonts w:hint="eastAsia" w:ascii="宋体" w:hAnsi="宋体" w:eastAsia="宋体"/>
                <w:szCs w:val="21"/>
                <w:highlight w:val="none"/>
                <w:lang w:eastAsia="zh-CN"/>
              </w:rPr>
              <w:t>，</w:t>
            </w:r>
            <w:r>
              <w:rPr>
                <w:rFonts w:hint="eastAsia" w:ascii="宋体" w:hAnsi="宋体" w:eastAsia="宋体"/>
                <w:szCs w:val="21"/>
                <w:highlight w:val="none"/>
              </w:rPr>
              <w:t>学信网无法查询的</w:t>
            </w:r>
            <w:r>
              <w:rPr>
                <w:rFonts w:hint="eastAsia" w:ascii="宋体" w:hAnsi="宋体" w:eastAsia="宋体"/>
                <w:szCs w:val="21"/>
                <w:highlight w:val="none"/>
                <w:lang w:eastAsia="zh-CN"/>
              </w:rPr>
              <w:t>，</w:t>
            </w:r>
            <w:r>
              <w:rPr>
                <w:rFonts w:hint="eastAsia" w:ascii="宋体" w:hAnsi="宋体" w:eastAsia="宋体"/>
                <w:szCs w:val="21"/>
                <w:highlight w:val="none"/>
              </w:rPr>
              <w:t>要求提供证书扫描件和其他佐证资料</w:t>
            </w:r>
            <w:r>
              <w:rPr>
                <w:rFonts w:hint="eastAsia" w:ascii="宋体" w:hAnsi="宋体" w:eastAsia="宋体"/>
                <w:szCs w:val="21"/>
                <w:highlight w:val="none"/>
                <w:lang w:eastAsia="zh-CN"/>
              </w:rPr>
              <w:t>（</w:t>
            </w:r>
            <w:r>
              <w:rPr>
                <w:rFonts w:hint="eastAsia" w:ascii="宋体" w:hAnsi="宋体" w:eastAsia="宋体"/>
                <w:szCs w:val="21"/>
                <w:highlight w:val="none"/>
              </w:rPr>
              <w:t>如毕业院校、</w:t>
            </w:r>
            <w:r>
              <w:rPr>
                <w:rFonts w:hint="eastAsia" w:ascii="宋体" w:hAnsi="宋体" w:eastAsia="宋体"/>
                <w:szCs w:val="21"/>
                <w:highlight w:val="none"/>
                <w:lang w:eastAsia="zh-CN"/>
              </w:rPr>
              <w:t>人社部</w:t>
            </w:r>
            <w:r>
              <w:rPr>
                <w:rFonts w:hint="eastAsia" w:ascii="宋体" w:hAnsi="宋体" w:eastAsia="宋体"/>
                <w:szCs w:val="21"/>
                <w:highlight w:val="none"/>
              </w:rPr>
              <w:t>门等颁发机构或者监管机构等单位出具的证明</w:t>
            </w:r>
            <w:r>
              <w:rPr>
                <w:rFonts w:hint="eastAsia" w:ascii="宋体" w:hAnsi="宋体" w:eastAsia="宋体"/>
                <w:szCs w:val="21"/>
                <w:highlight w:val="none"/>
                <w:lang w:eastAsia="zh-CN"/>
              </w:rPr>
              <w:t>）</w:t>
            </w:r>
            <w:r>
              <w:rPr>
                <w:rFonts w:hint="eastAsia" w:ascii="宋体" w:hAnsi="宋体" w:eastAsia="宋体"/>
                <w:szCs w:val="21"/>
                <w:highlight w:val="none"/>
              </w:rPr>
              <w:t>作为得分依据，海外留学（含港澳台）人员学历无法通过学信网查询的</w:t>
            </w:r>
            <w:r>
              <w:rPr>
                <w:rFonts w:hint="eastAsia" w:ascii="宋体" w:hAnsi="宋体" w:eastAsia="宋体"/>
                <w:szCs w:val="21"/>
                <w:highlight w:val="none"/>
                <w:lang w:eastAsia="zh-CN"/>
              </w:rPr>
              <w:t>，</w:t>
            </w:r>
            <w:r>
              <w:rPr>
                <w:rFonts w:hint="eastAsia" w:ascii="宋体" w:hAnsi="宋体" w:eastAsia="宋体"/>
                <w:szCs w:val="21"/>
                <w:highlight w:val="none"/>
              </w:rPr>
              <w:t>应当提供教育部留学中心出具的国外学历学位认证证书以及教育部留学中心官网查询截图。若证明文件为</w:t>
            </w:r>
            <w:r>
              <w:rPr>
                <w:rFonts w:hint="eastAsia" w:ascii="宋体" w:hAnsi="宋体" w:eastAsia="宋体"/>
                <w:szCs w:val="21"/>
                <w:highlight w:val="none"/>
                <w:lang w:eastAsia="zh-CN"/>
              </w:rPr>
              <w:t>其他语言，</w:t>
            </w:r>
            <w:r>
              <w:rPr>
                <w:rFonts w:hint="eastAsia" w:ascii="宋体" w:hAnsi="宋体" w:eastAsia="宋体"/>
                <w:szCs w:val="21"/>
                <w:highlight w:val="none"/>
              </w:rPr>
              <w:t>必须附中文译文，以中文译文为准。</w:t>
            </w:r>
          </w:p>
          <w:p w14:paraId="5705C70E">
            <w:pPr>
              <w:jc w:val="both"/>
              <w:rPr>
                <w:rFonts w:hint="eastAsia" w:ascii="宋体" w:hAnsi="宋体" w:eastAsia="宋体"/>
                <w:szCs w:val="21"/>
                <w:highlight w:val="none"/>
                <w:lang w:eastAsia="zh-CN"/>
              </w:rPr>
            </w:pPr>
            <w:r>
              <w:rPr>
                <w:rFonts w:hint="eastAsia" w:ascii="宋体" w:hAnsi="宋体" w:eastAsia="宋体"/>
                <w:szCs w:val="21"/>
                <w:highlight w:val="none"/>
              </w:rPr>
              <w:t>③第②③</w:t>
            </w:r>
            <w:r>
              <w:rPr>
                <w:rFonts w:hint="eastAsia" w:ascii="宋体" w:hAnsi="宋体" w:eastAsia="宋体"/>
                <w:szCs w:val="21"/>
                <w:highlight w:val="none"/>
                <w:lang w:eastAsia="zh-CN"/>
              </w:rPr>
              <w:t>④</w:t>
            </w:r>
            <w:r>
              <w:rPr>
                <w:rFonts w:hint="eastAsia" w:ascii="宋体" w:hAnsi="宋体" w:eastAsia="宋体"/>
                <w:szCs w:val="21"/>
                <w:highlight w:val="yellow"/>
                <w:lang w:eastAsia="zh-CN"/>
              </w:rPr>
              <w:t>⑤</w:t>
            </w:r>
            <w:r>
              <w:rPr>
                <w:rFonts w:hint="eastAsia" w:ascii="宋体" w:hAnsi="宋体" w:eastAsia="宋体"/>
                <w:szCs w:val="21"/>
                <w:highlight w:val="none"/>
              </w:rPr>
              <w:t>项提供</w:t>
            </w:r>
            <w:r>
              <w:rPr>
                <w:rFonts w:hint="eastAsia" w:ascii="宋体" w:hAnsi="宋体" w:eastAsia="宋体"/>
                <w:szCs w:val="21"/>
                <w:highlight w:val="none"/>
                <w:lang w:val="en-US" w:eastAsia="zh-CN"/>
              </w:rPr>
              <w:t>证书</w:t>
            </w:r>
            <w:r>
              <w:rPr>
                <w:rFonts w:hint="eastAsia" w:ascii="宋体" w:hAnsi="宋体" w:eastAsia="宋体"/>
                <w:szCs w:val="21"/>
                <w:highlight w:val="none"/>
              </w:rPr>
              <w:t>扫描件和“技能人才评价证书全国联网查询（http://zscx.osta.org.cn/）”查询截图；</w:t>
            </w:r>
          </w:p>
          <w:p w14:paraId="4A1BC22E">
            <w:pPr>
              <w:jc w:val="both"/>
              <w:rPr>
                <w:rFonts w:hint="eastAsia" w:ascii="宋体" w:hAnsi="宋体" w:eastAsia="宋体"/>
                <w:szCs w:val="21"/>
                <w:highlight w:val="none"/>
              </w:rPr>
            </w:pPr>
            <w:r>
              <w:rPr>
                <w:rFonts w:hint="eastAsia" w:ascii="宋体" w:hAnsi="宋体" w:eastAsia="宋体"/>
                <w:szCs w:val="21"/>
                <w:highlight w:val="none"/>
              </w:rPr>
              <w:t>④第</w:t>
            </w:r>
            <w:r>
              <w:rPr>
                <w:rFonts w:hint="eastAsia" w:ascii="宋体" w:hAnsi="宋体" w:eastAsia="宋体"/>
                <w:szCs w:val="21"/>
                <w:highlight w:val="none"/>
                <w:lang w:eastAsia="zh-CN"/>
              </w:rPr>
              <w:t>⑥</w:t>
            </w:r>
            <w:r>
              <w:rPr>
                <w:rFonts w:hint="eastAsia" w:ascii="宋体" w:hAnsi="宋体" w:eastAsia="宋体"/>
                <w:szCs w:val="21"/>
                <w:highlight w:val="none"/>
              </w:rPr>
              <w:t>项可提供多家所服务餐饮服务企业为其缴纳社保的参保证明或多家公司不同时间段的工作经验证明，证明材料将累计社保缴纳时间或累计工作经验证明工作时间。</w:t>
            </w:r>
          </w:p>
          <w:p w14:paraId="02C1A4C8">
            <w:pPr>
              <w:jc w:val="both"/>
              <w:rPr>
                <w:rFonts w:hint="eastAsia" w:ascii="宋体" w:hAnsi="宋体" w:eastAsia="宋体"/>
                <w:szCs w:val="21"/>
                <w:highlight w:val="none"/>
              </w:rPr>
            </w:pPr>
            <w:r>
              <w:rPr>
                <w:rFonts w:hint="eastAsia" w:ascii="宋体" w:hAnsi="宋体" w:eastAsia="宋体"/>
                <w:szCs w:val="21"/>
                <w:highlight w:val="none"/>
              </w:rPr>
              <w:t>⑤以上材料原件备查，未提供或提供不清晰导致无法判断的不得分。</w:t>
            </w:r>
          </w:p>
        </w:tc>
      </w:tr>
      <w:tr w14:paraId="2BF7EA0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0" w:hRule="atLeast"/>
          <w:jc w:val="center"/>
        </w:trPr>
        <w:tc>
          <w:tcPr>
            <w:tcW w:w="374" w:type="pct"/>
            <w:vMerge w:val="continue"/>
            <w:tcBorders>
              <w:top w:val="single" w:color="000000" w:sz="8" w:space="0"/>
              <w:left w:val="single" w:color="000000" w:sz="8" w:space="0"/>
              <w:bottom w:val="single" w:color="000000" w:sz="8" w:space="0"/>
              <w:right w:val="single" w:color="000000" w:sz="8" w:space="0"/>
            </w:tcBorders>
            <w:noWrap w:val="0"/>
            <w:vAlign w:val="center"/>
          </w:tcPr>
          <w:p w14:paraId="2002928B">
            <w:pPr>
              <w:keepNext w:val="0"/>
              <w:keepLines w:val="0"/>
              <w:pageBreakBefore w:val="0"/>
              <w:kinsoku/>
              <w:overflowPunct/>
              <w:topLinePunct w:val="0"/>
              <w:bidi w:val="0"/>
              <w:spacing w:line="240" w:lineRule="auto"/>
              <w:rPr>
                <w:rFonts w:hint="eastAsia" w:ascii="宋体" w:hAnsi="宋体" w:eastAsia="宋体" w:cs="宋体"/>
                <w:b/>
                <w:bCs/>
                <w:color w:val="0000FF"/>
                <w:sz w:val="22"/>
                <w:szCs w:val="22"/>
                <w:highlight w:val="none"/>
              </w:rPr>
            </w:pPr>
          </w:p>
        </w:tc>
        <w:tc>
          <w:tcPr>
            <w:tcW w:w="374" w:type="pct"/>
            <w:tcBorders>
              <w:top w:val="single" w:color="000000" w:sz="8" w:space="0"/>
              <w:left w:val="single" w:color="000000" w:sz="8" w:space="0"/>
              <w:right w:val="single" w:color="000000" w:sz="8" w:space="0"/>
            </w:tcBorders>
            <w:noWrap w:val="0"/>
            <w:vAlign w:val="top"/>
          </w:tcPr>
          <w:p w14:paraId="704FFF35">
            <w:pPr>
              <w:keepNext w:val="0"/>
              <w:keepLines w:val="0"/>
              <w:pageBreakBefore w:val="0"/>
              <w:kinsoku/>
              <w:wordWrap w:val="0"/>
              <w:overflowPunct/>
              <w:topLinePunct w:val="0"/>
              <w:bidi w:val="0"/>
              <w:snapToGrid/>
              <w:spacing w:line="240" w:lineRule="auto"/>
              <w:jc w:val="center"/>
              <w:rPr>
                <w:rFonts w:hint="eastAsia" w:ascii="宋体" w:hAnsi="宋体" w:eastAsia="宋体" w:cs="宋体"/>
                <w:color w:val="auto"/>
                <w:sz w:val="22"/>
                <w:szCs w:val="22"/>
                <w:highlight w:val="none"/>
                <w:lang w:eastAsia="zh-CN"/>
              </w:rPr>
            </w:pPr>
            <w:r>
              <w:rPr>
                <w:rFonts w:hint="eastAsia" w:ascii="宋体" w:hAnsi="宋体" w:eastAsia="宋体" w:cs="宋体"/>
                <w:sz w:val="22"/>
                <w:szCs w:val="22"/>
                <w:highlight w:val="none"/>
                <w:lang w:eastAsia="zh-CN"/>
              </w:rPr>
              <w:t>6</w:t>
            </w:r>
          </w:p>
        </w:tc>
        <w:tc>
          <w:tcPr>
            <w:tcW w:w="1090" w:type="pct"/>
            <w:tcBorders>
              <w:top w:val="single" w:color="000000" w:sz="8" w:space="0"/>
              <w:left w:val="single" w:color="000000" w:sz="8" w:space="0"/>
              <w:right w:val="single" w:color="000000" w:sz="8" w:space="0"/>
            </w:tcBorders>
            <w:noWrap w:val="0"/>
            <w:vAlign w:val="top"/>
          </w:tcPr>
          <w:p w14:paraId="27C2F5DB">
            <w:pPr>
              <w:jc w:val="center"/>
              <w:rPr>
                <w:rFonts w:hint="eastAsia" w:ascii="宋体" w:hAnsi="宋体" w:eastAsia="宋体"/>
                <w:szCs w:val="21"/>
                <w:highlight w:val="none"/>
              </w:rPr>
            </w:pPr>
            <w:r>
              <w:rPr>
                <w:rFonts w:hint="eastAsia" w:ascii="宋体" w:hAnsi="宋体" w:eastAsia="宋体" w:cs="宋体"/>
                <w:sz w:val="22"/>
                <w:szCs w:val="22"/>
                <w:highlight w:val="none"/>
              </w:rPr>
              <w:t>拟派项目团队人员情况（项目负责人除外）</w:t>
            </w:r>
            <w:r>
              <w:rPr>
                <w:rFonts w:hint="default" w:ascii="宋体" w:hAnsi="宋体" w:cs="宋体"/>
                <w:sz w:val="22"/>
                <w:szCs w:val="22"/>
                <w:highlight w:val="none"/>
              </w:rPr>
              <w:t>-</w:t>
            </w:r>
            <w:r>
              <w:rPr>
                <w:rFonts w:hint="eastAsia" w:ascii="宋体" w:hAnsi="宋体" w:eastAsia="宋体"/>
                <w:szCs w:val="21"/>
                <w:highlight w:val="none"/>
              </w:rPr>
              <w:t>主厨</w:t>
            </w:r>
          </w:p>
          <w:p w14:paraId="3900B371">
            <w:pPr>
              <w:keepNext w:val="0"/>
              <w:keepLines w:val="0"/>
              <w:pageBreakBefore w:val="0"/>
              <w:kinsoku/>
              <w:wordWrap w:val="0"/>
              <w:overflowPunct/>
              <w:topLinePunct w:val="0"/>
              <w:bidi w:val="0"/>
              <w:snapToGrid/>
              <w:spacing w:line="240" w:lineRule="auto"/>
              <w:jc w:val="center"/>
              <w:rPr>
                <w:rFonts w:hint="eastAsia" w:ascii="宋体" w:hAnsi="宋体" w:eastAsia="宋体" w:cs="宋体"/>
                <w:sz w:val="22"/>
                <w:szCs w:val="22"/>
                <w:highlight w:val="none"/>
              </w:rPr>
            </w:pPr>
          </w:p>
        </w:tc>
        <w:tc>
          <w:tcPr>
            <w:tcW w:w="477" w:type="pct"/>
            <w:tcBorders>
              <w:top w:val="single" w:color="000000" w:sz="8" w:space="0"/>
              <w:left w:val="single" w:color="000000" w:sz="8" w:space="0"/>
              <w:bottom w:val="single" w:color="000000" w:sz="8" w:space="0"/>
              <w:right w:val="single" w:color="000000" w:sz="8" w:space="0"/>
            </w:tcBorders>
            <w:noWrap w:val="0"/>
            <w:vAlign w:val="top"/>
          </w:tcPr>
          <w:p w14:paraId="173B22E8">
            <w:pPr>
              <w:keepNext w:val="0"/>
              <w:keepLines w:val="0"/>
              <w:pageBreakBefore w:val="0"/>
              <w:kinsoku/>
              <w:wordWrap w:val="0"/>
              <w:overflowPunct/>
              <w:topLinePunct w:val="0"/>
              <w:bidi w:val="0"/>
              <w:snapToGrid/>
              <w:spacing w:line="240" w:lineRule="auto"/>
              <w:jc w:val="center"/>
              <w:rPr>
                <w:rFonts w:hint="default" w:ascii="宋体" w:hAnsi="宋体" w:eastAsia="宋体" w:cs="宋体"/>
                <w:sz w:val="22"/>
                <w:szCs w:val="22"/>
                <w:highlight w:val="none"/>
              </w:rPr>
            </w:pPr>
            <w:r>
              <w:rPr>
                <w:rFonts w:hint="default" w:ascii="宋体" w:hAnsi="宋体" w:cs="宋体"/>
                <w:sz w:val="22"/>
                <w:szCs w:val="22"/>
                <w:highlight w:val="none"/>
                <w:lang w:eastAsia="zh-CN"/>
              </w:rPr>
              <w:t>10</w:t>
            </w:r>
          </w:p>
        </w:tc>
        <w:tc>
          <w:tcPr>
            <w:tcW w:w="2683" w:type="pct"/>
            <w:tcBorders>
              <w:top w:val="single" w:color="000000" w:sz="8" w:space="0"/>
              <w:left w:val="single" w:color="000000" w:sz="8" w:space="0"/>
              <w:bottom w:val="single" w:color="000000" w:sz="8" w:space="0"/>
              <w:right w:val="single" w:color="000000" w:sz="8" w:space="0"/>
            </w:tcBorders>
            <w:noWrap w:val="0"/>
            <w:vAlign w:val="top"/>
          </w:tcPr>
          <w:p w14:paraId="09082632">
            <w:pPr>
              <w:jc w:val="both"/>
              <w:rPr>
                <w:rFonts w:hint="eastAsia" w:ascii="宋体" w:hAnsi="宋体" w:eastAsia="宋体"/>
                <w:b/>
                <w:bCs/>
                <w:szCs w:val="21"/>
                <w:highlight w:val="none"/>
              </w:rPr>
            </w:pPr>
            <w:r>
              <w:rPr>
                <w:rFonts w:hint="eastAsia" w:ascii="宋体" w:hAnsi="宋体"/>
                <w:b/>
                <w:bCs/>
                <w:szCs w:val="21"/>
                <w:highlight w:val="none"/>
                <w:lang w:val="en-US" w:eastAsia="zh-CN"/>
              </w:rPr>
              <w:t>(一）</w:t>
            </w:r>
            <w:r>
              <w:rPr>
                <w:rFonts w:hint="eastAsia" w:ascii="宋体" w:hAnsi="宋体" w:eastAsia="宋体"/>
                <w:b/>
                <w:bCs/>
                <w:szCs w:val="21"/>
                <w:highlight w:val="none"/>
              </w:rPr>
              <w:t>评审内容：</w:t>
            </w:r>
          </w:p>
          <w:p w14:paraId="2A7D8226">
            <w:pPr>
              <w:jc w:val="both"/>
              <w:rPr>
                <w:rFonts w:hint="eastAsia" w:ascii="宋体" w:hAnsi="宋体" w:eastAsia="宋体"/>
                <w:szCs w:val="21"/>
                <w:highlight w:val="none"/>
              </w:rPr>
            </w:pPr>
            <w:r>
              <w:rPr>
                <w:rFonts w:hint="default" w:ascii="宋体" w:hAnsi="宋体" w:eastAsia="宋体"/>
                <w:szCs w:val="21"/>
                <w:highlight w:val="none"/>
              </w:rPr>
              <w:t>①</w:t>
            </w:r>
            <w:r>
              <w:rPr>
                <w:rFonts w:hint="eastAsia" w:ascii="宋体" w:hAnsi="宋体" w:eastAsia="宋体"/>
                <w:szCs w:val="21"/>
                <w:highlight w:val="none"/>
              </w:rPr>
              <w:t>具有</w:t>
            </w:r>
            <w:r>
              <w:rPr>
                <w:rFonts w:hint="eastAsia" w:ascii="宋体" w:hAnsi="宋体" w:eastAsia="宋体"/>
                <w:szCs w:val="21"/>
                <w:highlight w:val="yellow"/>
              </w:rPr>
              <w:t>人社部(或人社部备案的评价机构)颁发的</w:t>
            </w:r>
            <w:r>
              <w:rPr>
                <w:rFonts w:hint="eastAsia" w:ascii="宋体" w:hAnsi="宋体" w:eastAsia="宋体"/>
                <w:szCs w:val="21"/>
                <w:highlight w:val="none"/>
              </w:rPr>
              <w:t>中式烹调师一级（高级技师）证书</w:t>
            </w:r>
            <w:r>
              <w:rPr>
                <w:rFonts w:hint="eastAsia" w:ascii="宋体" w:hAnsi="宋体" w:eastAsia="宋体"/>
                <w:szCs w:val="21"/>
                <w:highlight w:val="none"/>
                <w:lang w:val="en-US" w:eastAsia="zh-CN"/>
              </w:rPr>
              <w:t>得</w:t>
            </w:r>
            <w:r>
              <w:rPr>
                <w:rFonts w:hint="default" w:ascii="宋体" w:hAnsi="宋体" w:eastAsia="宋体"/>
                <w:szCs w:val="21"/>
                <w:highlight w:val="none"/>
                <w:lang w:eastAsia="zh-CN"/>
              </w:rPr>
              <w:t>2</w:t>
            </w:r>
            <w:r>
              <w:rPr>
                <w:rFonts w:hint="eastAsia" w:ascii="宋体" w:hAnsi="宋体" w:eastAsia="宋体"/>
                <w:szCs w:val="21"/>
                <w:highlight w:val="none"/>
                <w:lang w:val="en-US" w:eastAsia="zh-CN"/>
              </w:rPr>
              <w:t>分</w:t>
            </w:r>
            <w:r>
              <w:rPr>
                <w:rFonts w:hint="eastAsia" w:ascii="宋体" w:hAnsi="宋体" w:eastAsia="宋体"/>
                <w:szCs w:val="21"/>
                <w:highlight w:val="none"/>
              </w:rPr>
              <w:t>；</w:t>
            </w:r>
          </w:p>
          <w:p w14:paraId="3F6345CC">
            <w:pPr>
              <w:jc w:val="both"/>
              <w:rPr>
                <w:rFonts w:hint="eastAsia" w:ascii="宋体" w:hAnsi="宋体" w:eastAsia="宋体"/>
                <w:szCs w:val="21"/>
                <w:highlight w:val="none"/>
              </w:rPr>
            </w:pPr>
            <w:r>
              <w:rPr>
                <w:rFonts w:hint="default" w:ascii="宋体" w:hAnsi="宋体" w:eastAsia="宋体"/>
                <w:szCs w:val="21"/>
                <w:highlight w:val="none"/>
              </w:rPr>
              <w:t>②</w:t>
            </w:r>
            <w:r>
              <w:rPr>
                <w:rFonts w:hint="eastAsia" w:ascii="宋体" w:hAnsi="宋体" w:eastAsia="宋体"/>
                <w:szCs w:val="21"/>
                <w:highlight w:val="none"/>
              </w:rPr>
              <w:t>具有</w:t>
            </w:r>
            <w:r>
              <w:rPr>
                <w:rFonts w:hint="eastAsia" w:ascii="宋体" w:hAnsi="宋体" w:eastAsia="宋体"/>
                <w:szCs w:val="21"/>
                <w:highlight w:val="yellow"/>
              </w:rPr>
              <w:t>人社部(或人社部备案的评价机构)颁发的</w:t>
            </w:r>
            <w:r>
              <w:rPr>
                <w:rFonts w:hint="eastAsia" w:ascii="宋体" w:hAnsi="宋体" w:eastAsia="宋体"/>
                <w:szCs w:val="21"/>
                <w:highlight w:val="none"/>
              </w:rPr>
              <w:t>公共营养师</w:t>
            </w:r>
            <w:r>
              <w:rPr>
                <w:rFonts w:hint="default" w:ascii="宋体" w:hAnsi="宋体" w:eastAsia="宋体"/>
                <w:szCs w:val="21"/>
                <w:highlight w:val="none"/>
              </w:rPr>
              <w:t>二</w:t>
            </w:r>
            <w:r>
              <w:rPr>
                <w:rFonts w:hint="eastAsia" w:ascii="宋体" w:hAnsi="宋体" w:eastAsia="宋体"/>
                <w:szCs w:val="21"/>
                <w:highlight w:val="none"/>
              </w:rPr>
              <w:t>级或以上证书</w:t>
            </w:r>
            <w:r>
              <w:rPr>
                <w:rFonts w:hint="eastAsia" w:ascii="宋体" w:hAnsi="宋体" w:eastAsia="宋体"/>
                <w:szCs w:val="21"/>
                <w:highlight w:val="none"/>
                <w:lang w:val="en-US" w:eastAsia="zh-CN"/>
              </w:rPr>
              <w:t>得</w:t>
            </w:r>
            <w:r>
              <w:rPr>
                <w:rFonts w:hint="default" w:ascii="宋体" w:hAnsi="宋体" w:eastAsia="宋体"/>
                <w:szCs w:val="21"/>
                <w:highlight w:val="none"/>
                <w:lang w:eastAsia="zh-CN"/>
              </w:rPr>
              <w:t>2</w:t>
            </w:r>
            <w:r>
              <w:rPr>
                <w:rFonts w:hint="eastAsia" w:ascii="宋体" w:hAnsi="宋体" w:eastAsia="宋体"/>
                <w:szCs w:val="21"/>
                <w:highlight w:val="none"/>
                <w:lang w:val="en-US" w:eastAsia="zh-CN"/>
              </w:rPr>
              <w:t>分</w:t>
            </w:r>
            <w:r>
              <w:rPr>
                <w:rFonts w:hint="eastAsia" w:ascii="宋体" w:hAnsi="宋体" w:eastAsia="宋体"/>
                <w:szCs w:val="21"/>
                <w:highlight w:val="none"/>
              </w:rPr>
              <w:t>；</w:t>
            </w:r>
          </w:p>
          <w:p w14:paraId="26513A6D">
            <w:pPr>
              <w:jc w:val="both"/>
              <w:rPr>
                <w:rFonts w:hint="default" w:ascii="宋体" w:hAnsi="宋体" w:eastAsia="宋体"/>
                <w:szCs w:val="21"/>
                <w:highlight w:val="none"/>
              </w:rPr>
            </w:pPr>
            <w:r>
              <w:rPr>
                <w:rFonts w:hint="default" w:ascii="宋体" w:hAnsi="宋体" w:eastAsia="宋体"/>
                <w:szCs w:val="21"/>
                <w:highlight w:val="none"/>
              </w:rPr>
              <w:t>③</w:t>
            </w:r>
            <w:r>
              <w:rPr>
                <w:rFonts w:hint="eastAsia" w:ascii="宋体" w:hAnsi="宋体" w:eastAsia="宋体"/>
                <w:szCs w:val="21"/>
                <w:highlight w:val="none"/>
              </w:rPr>
              <w:t>具有</w:t>
            </w:r>
            <w:r>
              <w:rPr>
                <w:rFonts w:hint="eastAsia" w:ascii="宋体" w:hAnsi="宋体" w:eastAsia="宋体"/>
                <w:szCs w:val="21"/>
                <w:highlight w:val="yellow"/>
              </w:rPr>
              <w:t>餐饮管理师一级（高级技师）证书</w:t>
            </w:r>
            <w:r>
              <w:rPr>
                <w:rFonts w:hint="eastAsia" w:ascii="宋体" w:hAnsi="宋体" w:eastAsia="宋体"/>
                <w:szCs w:val="21"/>
                <w:highlight w:val="none"/>
                <w:lang w:val="en-US" w:eastAsia="zh-CN"/>
              </w:rPr>
              <w:t>得</w:t>
            </w:r>
            <w:r>
              <w:rPr>
                <w:rFonts w:hint="default" w:ascii="宋体" w:hAnsi="宋体" w:eastAsia="宋体"/>
                <w:szCs w:val="21"/>
                <w:highlight w:val="none"/>
                <w:lang w:eastAsia="zh-CN"/>
              </w:rPr>
              <w:t>2</w:t>
            </w:r>
            <w:r>
              <w:rPr>
                <w:rFonts w:hint="eastAsia" w:ascii="宋体" w:hAnsi="宋体" w:eastAsia="宋体"/>
                <w:szCs w:val="21"/>
                <w:highlight w:val="none"/>
                <w:lang w:val="en-US" w:eastAsia="zh-CN"/>
              </w:rPr>
              <w:t>分</w:t>
            </w:r>
            <w:r>
              <w:rPr>
                <w:rFonts w:hint="default" w:ascii="宋体" w:hAnsi="宋体" w:eastAsia="宋体"/>
                <w:szCs w:val="21"/>
                <w:highlight w:val="none"/>
              </w:rPr>
              <w:t>；</w:t>
            </w:r>
          </w:p>
          <w:p w14:paraId="4A99781D">
            <w:pPr>
              <w:jc w:val="both"/>
              <w:rPr>
                <w:rFonts w:hint="eastAsia" w:ascii="宋体" w:hAnsi="宋体" w:eastAsia="宋体"/>
                <w:szCs w:val="21"/>
                <w:highlight w:val="none"/>
              </w:rPr>
            </w:pPr>
            <w:r>
              <w:rPr>
                <w:rFonts w:hint="default" w:ascii="宋体" w:hAnsi="宋体" w:eastAsia="宋体"/>
                <w:szCs w:val="21"/>
                <w:highlight w:val="none"/>
                <w:lang w:eastAsia="zh-CN"/>
              </w:rPr>
              <w:t>④</w:t>
            </w:r>
            <w:r>
              <w:rPr>
                <w:rFonts w:hint="eastAsia" w:ascii="宋体" w:hAnsi="宋体" w:eastAsia="宋体"/>
                <w:szCs w:val="21"/>
                <w:highlight w:val="none"/>
              </w:rPr>
              <w:t>获得</w:t>
            </w:r>
            <w:r>
              <w:rPr>
                <w:rFonts w:hint="default" w:ascii="宋体" w:hAnsi="宋体" w:eastAsia="宋体"/>
                <w:szCs w:val="21"/>
                <w:highlight w:val="none"/>
                <w:lang w:eastAsia="zh-CN"/>
              </w:rPr>
              <w:t>专科</w:t>
            </w:r>
            <w:r>
              <w:rPr>
                <w:rFonts w:hint="eastAsia" w:ascii="宋体" w:hAnsi="宋体" w:eastAsia="宋体"/>
                <w:szCs w:val="21"/>
                <w:highlight w:val="none"/>
              </w:rPr>
              <w:t>或以上学历（烹饪类）得</w:t>
            </w:r>
            <w:r>
              <w:rPr>
                <w:rFonts w:hint="default" w:ascii="宋体" w:hAnsi="宋体" w:eastAsia="宋体"/>
                <w:szCs w:val="21"/>
                <w:highlight w:val="none"/>
              </w:rPr>
              <w:t>2</w:t>
            </w:r>
            <w:r>
              <w:rPr>
                <w:rFonts w:hint="eastAsia" w:ascii="宋体" w:hAnsi="宋体" w:eastAsia="宋体"/>
                <w:szCs w:val="21"/>
                <w:highlight w:val="none"/>
                <w:lang w:val="en-US" w:eastAsia="zh-CN"/>
              </w:rPr>
              <w:t>分</w:t>
            </w:r>
            <w:r>
              <w:rPr>
                <w:rFonts w:hint="eastAsia" w:ascii="宋体" w:hAnsi="宋体" w:eastAsia="宋体"/>
                <w:szCs w:val="21"/>
                <w:highlight w:val="none"/>
              </w:rPr>
              <w:t>；</w:t>
            </w:r>
          </w:p>
          <w:p w14:paraId="1623B6F6">
            <w:pPr>
              <w:jc w:val="both"/>
              <w:rPr>
                <w:rFonts w:hint="default" w:ascii="宋体" w:hAnsi="宋体" w:eastAsia="宋体"/>
                <w:szCs w:val="21"/>
                <w:highlight w:val="none"/>
              </w:rPr>
            </w:pPr>
            <w:r>
              <w:rPr>
                <w:rFonts w:hint="default" w:ascii="宋体" w:hAnsi="宋体" w:eastAsia="宋体"/>
                <w:szCs w:val="21"/>
                <w:highlight w:val="none"/>
                <w:lang w:eastAsia="zh-CN"/>
              </w:rPr>
              <w:t>⑤具有酒店餐饮或酒楼同岗位3年以上工作经验</w:t>
            </w:r>
            <w:r>
              <w:rPr>
                <w:rFonts w:hint="eastAsia" w:ascii="宋体" w:hAnsi="宋体" w:eastAsia="宋体"/>
                <w:szCs w:val="21"/>
                <w:highlight w:val="none"/>
                <w:lang w:val="en-US" w:eastAsia="zh-CN"/>
              </w:rPr>
              <w:t>得</w:t>
            </w:r>
            <w:r>
              <w:rPr>
                <w:rFonts w:hint="default" w:ascii="宋体" w:hAnsi="宋体" w:eastAsia="宋体"/>
                <w:szCs w:val="21"/>
                <w:highlight w:val="none"/>
                <w:lang w:eastAsia="zh-CN"/>
              </w:rPr>
              <w:t>2</w:t>
            </w:r>
            <w:r>
              <w:rPr>
                <w:rFonts w:hint="eastAsia" w:ascii="宋体" w:hAnsi="宋体" w:eastAsia="宋体"/>
                <w:szCs w:val="21"/>
                <w:highlight w:val="none"/>
                <w:lang w:val="en-US" w:eastAsia="zh-CN"/>
              </w:rPr>
              <w:t>分</w:t>
            </w:r>
            <w:r>
              <w:rPr>
                <w:rFonts w:hint="default" w:ascii="宋体" w:hAnsi="宋体" w:eastAsia="宋体"/>
                <w:szCs w:val="21"/>
                <w:highlight w:val="none"/>
                <w:lang w:eastAsia="zh-CN"/>
              </w:rPr>
              <w:t>。</w:t>
            </w:r>
          </w:p>
          <w:p w14:paraId="2DF6D404">
            <w:pPr>
              <w:jc w:val="both"/>
              <w:rPr>
                <w:rFonts w:hint="eastAsia" w:ascii="宋体" w:hAnsi="宋体" w:eastAsia="宋体"/>
                <w:szCs w:val="21"/>
                <w:highlight w:val="none"/>
              </w:rPr>
            </w:pPr>
            <w:r>
              <w:rPr>
                <w:rFonts w:hint="default" w:ascii="宋体" w:hAnsi="宋体" w:eastAsia="宋体"/>
                <w:szCs w:val="21"/>
                <w:highlight w:val="none"/>
              </w:rPr>
              <w:t>以上累计</w:t>
            </w:r>
            <w:r>
              <w:rPr>
                <w:rFonts w:hint="eastAsia" w:ascii="宋体" w:hAnsi="宋体" w:eastAsia="宋体"/>
                <w:szCs w:val="21"/>
                <w:highlight w:val="none"/>
              </w:rPr>
              <w:t>最高得</w:t>
            </w:r>
            <w:r>
              <w:rPr>
                <w:rFonts w:hint="default" w:ascii="宋体" w:hAnsi="宋体" w:eastAsia="宋体"/>
                <w:szCs w:val="21"/>
                <w:highlight w:val="none"/>
              </w:rPr>
              <w:t>10</w:t>
            </w:r>
            <w:r>
              <w:rPr>
                <w:rFonts w:hint="eastAsia" w:ascii="宋体" w:hAnsi="宋体" w:eastAsia="宋体"/>
                <w:szCs w:val="21"/>
                <w:highlight w:val="none"/>
              </w:rPr>
              <w:t>分。</w:t>
            </w:r>
          </w:p>
          <w:p w14:paraId="3C159E80">
            <w:pPr>
              <w:jc w:val="both"/>
              <w:rPr>
                <w:rFonts w:hint="eastAsia" w:ascii="宋体" w:hAnsi="宋体" w:eastAsia="宋体"/>
                <w:b/>
                <w:bCs/>
                <w:szCs w:val="21"/>
                <w:highlight w:val="none"/>
              </w:rPr>
            </w:pPr>
            <w:r>
              <w:rPr>
                <w:rFonts w:hint="eastAsia" w:ascii="宋体" w:hAnsi="宋体"/>
                <w:b/>
                <w:bCs/>
                <w:szCs w:val="21"/>
                <w:highlight w:val="none"/>
                <w:lang w:eastAsia="zh-CN"/>
              </w:rPr>
              <w:t>（二）</w:t>
            </w:r>
            <w:r>
              <w:rPr>
                <w:rFonts w:hint="eastAsia" w:ascii="宋体" w:hAnsi="宋体" w:eastAsia="宋体"/>
                <w:b/>
                <w:bCs/>
                <w:szCs w:val="21"/>
                <w:highlight w:val="none"/>
              </w:rPr>
              <w:t>评审依据：</w:t>
            </w:r>
          </w:p>
          <w:p w14:paraId="37F14FF9">
            <w:pPr>
              <w:jc w:val="both"/>
              <w:rPr>
                <w:rFonts w:hint="eastAsia" w:ascii="宋体" w:hAnsi="宋体" w:eastAsia="宋体"/>
                <w:szCs w:val="21"/>
                <w:highlight w:val="none"/>
                <w:lang w:eastAsia="zh-CN"/>
              </w:rPr>
            </w:pPr>
            <w:r>
              <w:rPr>
                <w:rFonts w:hint="default" w:ascii="宋体" w:hAnsi="宋体" w:eastAsia="宋体"/>
                <w:szCs w:val="21"/>
                <w:highlight w:val="none"/>
                <w:lang w:eastAsia="zh-CN"/>
              </w:rPr>
              <w:t>①</w:t>
            </w:r>
            <w:r>
              <w:rPr>
                <w:rFonts w:hint="eastAsia" w:ascii="宋体" w:hAnsi="宋体" w:eastAsia="宋体"/>
                <w:szCs w:val="21"/>
                <w:highlight w:val="none"/>
                <w:lang w:eastAsia="zh-CN"/>
              </w:rPr>
              <w:t>提供投标人为拟派人</w:t>
            </w:r>
            <w:r>
              <w:rPr>
                <w:rFonts w:hint="eastAsia" w:ascii="宋体" w:hAnsi="宋体" w:eastAsia="宋体"/>
                <w:szCs w:val="21"/>
                <w:highlight w:val="none"/>
                <w:lang w:val="en-US" w:eastAsia="zh-CN"/>
              </w:rPr>
              <w:t>员</w:t>
            </w:r>
            <w:r>
              <w:rPr>
                <w:rFonts w:hint="eastAsia" w:ascii="宋体" w:hAnsi="宋体" w:eastAsia="宋体"/>
                <w:szCs w:val="21"/>
                <w:highlight w:val="none"/>
                <w:lang w:eastAsia="zh-CN"/>
              </w:rPr>
              <w:t>缴纳的</w:t>
            </w:r>
            <w:r>
              <w:rPr>
                <w:rFonts w:hint="eastAsia" w:ascii="宋体" w:hAnsi="宋体" w:eastAsia="宋体"/>
                <w:szCs w:val="21"/>
                <w:highlight w:val="none"/>
              </w:rPr>
              <w:t>近3个月</w:t>
            </w:r>
            <w:r>
              <w:rPr>
                <w:rFonts w:hint="eastAsia" w:ascii="宋体" w:hAnsi="宋体" w:eastAsia="宋体"/>
                <w:szCs w:val="21"/>
                <w:highlight w:val="none"/>
                <w:lang w:eastAsia="zh-CN"/>
              </w:rPr>
              <w:t>社保证明扫描件（以养老保险为准，如</w:t>
            </w:r>
            <w:r>
              <w:rPr>
                <w:rFonts w:hint="default" w:ascii="宋体" w:hAnsi="宋体" w:eastAsia="宋体"/>
                <w:szCs w:val="21"/>
                <w:highlight w:val="none"/>
                <w:lang w:eastAsia="zh-CN"/>
              </w:rPr>
              <w:t>截标</w:t>
            </w:r>
            <w:r>
              <w:rPr>
                <w:rFonts w:hint="eastAsia" w:ascii="宋体" w:hAnsi="宋体" w:eastAsia="宋体"/>
                <w:szCs w:val="21"/>
                <w:highlight w:val="none"/>
                <w:lang w:eastAsia="zh-CN"/>
              </w:rPr>
              <w:t>日上1个月的社保材料因社保部门原因暂时无法取得，则可以往前顺延1个月）；投标人若为新成立</w:t>
            </w:r>
            <w:r>
              <w:rPr>
                <w:rFonts w:hint="eastAsia" w:ascii="宋体" w:hAnsi="宋体"/>
                <w:szCs w:val="21"/>
                <w:highlight w:val="none"/>
                <w:lang w:eastAsia="zh-CN"/>
              </w:rPr>
              <w:t>的企业，</w:t>
            </w:r>
            <w:r>
              <w:rPr>
                <w:rFonts w:hint="eastAsia" w:ascii="宋体" w:hAnsi="宋体" w:eastAsia="宋体"/>
                <w:szCs w:val="21"/>
                <w:highlight w:val="none"/>
                <w:lang w:eastAsia="zh-CN"/>
              </w:rPr>
              <w:t>成立时间不足3个月的</w:t>
            </w:r>
            <w:r>
              <w:rPr>
                <w:rFonts w:hint="eastAsia" w:ascii="宋体" w:hAnsi="宋体"/>
                <w:szCs w:val="21"/>
                <w:highlight w:val="none"/>
                <w:lang w:eastAsia="zh-CN"/>
              </w:rPr>
              <w:t>，</w:t>
            </w:r>
            <w:r>
              <w:rPr>
                <w:rFonts w:hint="eastAsia" w:ascii="宋体" w:hAnsi="宋体" w:eastAsia="宋体"/>
                <w:szCs w:val="21"/>
                <w:highlight w:val="none"/>
                <w:lang w:eastAsia="zh-CN"/>
              </w:rPr>
              <w:t>按成立时限提供；成立时间不足1个月的</w:t>
            </w:r>
            <w:r>
              <w:rPr>
                <w:rFonts w:hint="eastAsia" w:ascii="宋体" w:hAnsi="宋体"/>
                <w:szCs w:val="21"/>
                <w:highlight w:val="none"/>
                <w:lang w:eastAsia="zh-CN"/>
              </w:rPr>
              <w:t>，</w:t>
            </w:r>
            <w:r>
              <w:rPr>
                <w:rFonts w:hint="eastAsia" w:ascii="宋体" w:hAnsi="宋体" w:eastAsia="宋体"/>
                <w:szCs w:val="21"/>
                <w:highlight w:val="none"/>
                <w:lang w:eastAsia="zh-CN"/>
              </w:rPr>
              <w:t>提供承诺函承诺为投标人自有员工</w:t>
            </w:r>
            <w:r>
              <w:rPr>
                <w:rFonts w:hint="eastAsia" w:ascii="宋体" w:hAnsi="宋体"/>
                <w:szCs w:val="21"/>
                <w:highlight w:val="none"/>
                <w:lang w:eastAsia="zh-CN"/>
              </w:rPr>
              <w:t>。</w:t>
            </w:r>
          </w:p>
          <w:p w14:paraId="74F39EA8">
            <w:pPr>
              <w:jc w:val="both"/>
              <w:rPr>
                <w:rFonts w:hint="eastAsia" w:ascii="宋体" w:hAnsi="宋体" w:eastAsia="宋体"/>
                <w:szCs w:val="21"/>
                <w:highlight w:val="none"/>
                <w:lang w:eastAsia="zh-CN"/>
              </w:rPr>
            </w:pPr>
            <w:r>
              <w:rPr>
                <w:rFonts w:hint="default" w:ascii="宋体" w:hAnsi="宋体" w:eastAsia="宋体"/>
                <w:szCs w:val="21"/>
                <w:highlight w:val="none"/>
                <w:lang w:eastAsia="zh-CN"/>
              </w:rPr>
              <w:t>②</w:t>
            </w:r>
            <w:r>
              <w:rPr>
                <w:rFonts w:hint="eastAsia" w:ascii="宋体" w:hAnsi="宋体" w:eastAsia="宋体"/>
                <w:szCs w:val="21"/>
                <w:highlight w:val="none"/>
                <w:lang w:eastAsia="zh-CN"/>
              </w:rPr>
              <w:t>涉及学历，要求提供证书扫描件以及学信网查询记录。对于较早颁发的学历证书，学信网无法查询的，要求提供证书扫描件和其他佐证资料（如毕业院校、人社部门等颁发机构或者监管机构等单位出具的证明）作为得分依据，海外留学（含港澳台）人员学历无法通过学信网查询的，应当提供教育部留学中心出具的国外学历学位认证证书以及教育部留学中心官网查询截图。若证明文件为其他语言，必须附中文译文，以中文译文为准。</w:t>
            </w:r>
          </w:p>
          <w:p w14:paraId="0B30142C">
            <w:pPr>
              <w:jc w:val="both"/>
              <w:rPr>
                <w:rFonts w:hint="eastAsia" w:ascii="宋体" w:hAnsi="宋体"/>
                <w:szCs w:val="21"/>
                <w:highlight w:val="none"/>
                <w:lang w:eastAsia="zh-CN"/>
              </w:rPr>
            </w:pPr>
            <w:r>
              <w:rPr>
                <w:rFonts w:hint="default" w:ascii="宋体" w:hAnsi="宋体" w:eastAsia="宋体"/>
                <w:szCs w:val="21"/>
                <w:highlight w:val="none"/>
                <w:lang w:eastAsia="zh-CN"/>
              </w:rPr>
              <w:t>③</w:t>
            </w:r>
            <w:r>
              <w:rPr>
                <w:rFonts w:hint="eastAsia" w:ascii="宋体" w:hAnsi="宋体" w:eastAsia="宋体"/>
                <w:szCs w:val="21"/>
                <w:highlight w:val="none"/>
              </w:rPr>
              <w:t>第</w:t>
            </w:r>
            <w:r>
              <w:rPr>
                <w:rFonts w:hint="default" w:ascii="宋体" w:hAnsi="宋体" w:eastAsia="宋体"/>
                <w:szCs w:val="21"/>
                <w:highlight w:val="none"/>
              </w:rPr>
              <w:t>①</w:t>
            </w:r>
            <w:r>
              <w:rPr>
                <w:rFonts w:hint="eastAsia" w:ascii="宋体" w:hAnsi="宋体" w:eastAsia="宋体"/>
                <w:szCs w:val="21"/>
                <w:highlight w:val="none"/>
              </w:rPr>
              <w:t>②项</w:t>
            </w:r>
            <w:r>
              <w:rPr>
                <w:rFonts w:hint="eastAsia" w:ascii="宋体" w:hAnsi="宋体"/>
                <w:szCs w:val="21"/>
                <w:highlight w:val="none"/>
                <w:lang w:eastAsia="zh-CN"/>
              </w:rPr>
              <w:t>提供</w:t>
            </w:r>
            <w:r>
              <w:rPr>
                <w:rFonts w:hint="default" w:ascii="宋体" w:hAnsi="宋体" w:eastAsia="宋体"/>
                <w:szCs w:val="21"/>
                <w:highlight w:val="none"/>
                <w:lang w:eastAsia="zh-CN"/>
              </w:rPr>
              <w:t>相关</w:t>
            </w:r>
            <w:r>
              <w:rPr>
                <w:rFonts w:hint="eastAsia" w:ascii="宋体" w:hAnsi="宋体" w:eastAsia="宋体"/>
                <w:szCs w:val="21"/>
                <w:highlight w:val="none"/>
                <w:lang w:val="en-US" w:eastAsia="zh-CN"/>
              </w:rPr>
              <w:t>证书</w:t>
            </w:r>
            <w:r>
              <w:rPr>
                <w:rFonts w:hint="eastAsia" w:ascii="宋体" w:hAnsi="宋体" w:eastAsia="宋体"/>
                <w:szCs w:val="21"/>
                <w:highlight w:val="none"/>
              </w:rPr>
              <w:t>扫描件和“技能人才评价证书全国联网查询（http://zscx.osta.org.cn/）”查询截图</w:t>
            </w:r>
            <w:r>
              <w:rPr>
                <w:rFonts w:hint="eastAsia" w:ascii="宋体" w:hAnsi="宋体"/>
                <w:szCs w:val="21"/>
                <w:highlight w:val="none"/>
                <w:lang w:eastAsia="zh-CN"/>
              </w:rPr>
              <w:t>。</w:t>
            </w:r>
          </w:p>
          <w:p w14:paraId="71461292">
            <w:pPr>
              <w:jc w:val="both"/>
              <w:rPr>
                <w:rFonts w:hint="default" w:ascii="宋体" w:hAnsi="宋体" w:eastAsia="宋体"/>
                <w:szCs w:val="21"/>
                <w:highlight w:val="yellow"/>
                <w:lang w:eastAsia="zh-CN"/>
              </w:rPr>
            </w:pPr>
            <w:r>
              <w:rPr>
                <w:rFonts w:hint="default" w:ascii="宋体" w:hAnsi="宋体" w:eastAsia="宋体"/>
                <w:szCs w:val="21"/>
                <w:highlight w:val="yellow"/>
                <w:lang w:eastAsia="zh-CN"/>
              </w:rPr>
              <w:t>④</w:t>
            </w:r>
            <w:r>
              <w:rPr>
                <w:rFonts w:hint="eastAsia" w:ascii="宋体" w:hAnsi="宋体"/>
                <w:szCs w:val="21"/>
                <w:highlight w:val="yellow"/>
                <w:lang w:eastAsia="zh-CN"/>
              </w:rPr>
              <w:t>第③项提供相关证书扫描件</w:t>
            </w:r>
            <w:r>
              <w:rPr>
                <w:rFonts w:hint="eastAsia" w:ascii="宋体" w:hAnsi="宋体" w:eastAsia="宋体" w:cs="宋体"/>
                <w:sz w:val="22"/>
                <w:szCs w:val="22"/>
                <w:highlight w:val="yellow"/>
              </w:rPr>
              <w:t>。</w:t>
            </w:r>
          </w:p>
          <w:p w14:paraId="637629AD">
            <w:pPr>
              <w:jc w:val="both"/>
              <w:rPr>
                <w:rFonts w:hint="eastAsia" w:ascii="宋体" w:hAnsi="宋体" w:eastAsia="宋体"/>
                <w:szCs w:val="21"/>
                <w:highlight w:val="none"/>
                <w:lang w:eastAsia="zh-CN"/>
              </w:rPr>
            </w:pPr>
            <w:r>
              <w:rPr>
                <w:rFonts w:hint="default" w:ascii="宋体" w:hAnsi="宋体" w:eastAsia="宋体"/>
                <w:szCs w:val="21"/>
                <w:highlight w:val="none"/>
                <w:lang w:eastAsia="zh-CN"/>
              </w:rPr>
              <w:t>⑤相关经验可</w:t>
            </w:r>
            <w:r>
              <w:rPr>
                <w:rFonts w:hint="eastAsia" w:ascii="宋体" w:hAnsi="宋体" w:eastAsia="宋体"/>
                <w:szCs w:val="21"/>
                <w:highlight w:val="none"/>
                <w:lang w:eastAsia="zh-CN"/>
              </w:rPr>
              <w:t>提供多家所服务餐饮服务企业为其缴纳社保的参保证明或多家公司不同时间段的工作经验证明，证明材料将累计社保缴纳时间或累计工作经验证明工作时间</w:t>
            </w:r>
            <w:r>
              <w:rPr>
                <w:rFonts w:hint="eastAsia" w:ascii="宋体" w:hAnsi="宋体"/>
                <w:szCs w:val="21"/>
                <w:highlight w:val="none"/>
                <w:lang w:eastAsia="zh-CN"/>
              </w:rPr>
              <w:t>。</w:t>
            </w:r>
          </w:p>
          <w:p w14:paraId="3C482884">
            <w:pPr>
              <w:jc w:val="both"/>
              <w:rPr>
                <w:rFonts w:hint="eastAsia" w:ascii="宋体" w:hAnsi="宋体" w:eastAsia="宋体"/>
                <w:szCs w:val="21"/>
                <w:highlight w:val="none"/>
                <w:lang w:val="en-US" w:eastAsia="zh-CN"/>
              </w:rPr>
            </w:pPr>
            <w:r>
              <w:rPr>
                <w:rFonts w:hint="eastAsia" w:ascii="宋体" w:hAnsi="宋体" w:eastAsia="宋体"/>
                <w:szCs w:val="21"/>
                <w:highlight w:val="none"/>
                <w:lang w:eastAsia="zh-CN"/>
              </w:rPr>
              <w:t>⑥</w:t>
            </w:r>
            <w:r>
              <w:rPr>
                <w:rFonts w:hint="eastAsia" w:ascii="宋体" w:hAnsi="宋体" w:eastAsia="宋体"/>
                <w:szCs w:val="21"/>
                <w:highlight w:val="none"/>
              </w:rPr>
              <w:t>未按要求提供或提供不清晰导致专家无法判断的不得分，原件备查。</w:t>
            </w:r>
          </w:p>
        </w:tc>
      </w:tr>
      <w:tr w14:paraId="50CDA86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Change w:id="1" w:author="Li" w:date="2025-08-11T09:55:38Z">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blPrExChange>
        </w:tblPrEx>
        <w:trPr>
          <w:wAfter w:w="0" w:type="auto"/>
          <w:trHeight w:val="90" w:hRule="atLeast"/>
          <w:jc w:val="center"/>
          <w:trPrChange w:id="1" w:author="Li" w:date="2025-08-11T09:55:38Z">
            <w:trPr>
              <w:gridAfter w:val="1"/>
              <w:wAfter w:w="2" w:type="dxa"/>
              <w:trHeight w:val="90" w:hRule="atLeast"/>
              <w:jc w:val="center"/>
            </w:trPr>
          </w:trPrChange>
        </w:trPr>
        <w:tc>
          <w:tcPr>
            <w:tcW w:w="374" w:type="pct"/>
            <w:vMerge w:val="continue"/>
            <w:tcBorders>
              <w:top w:val="single" w:color="000000" w:sz="8" w:space="0"/>
              <w:left w:val="single" w:color="000000" w:sz="8" w:space="0"/>
              <w:bottom w:val="single" w:color="000000" w:sz="8" w:space="0"/>
              <w:right w:val="single" w:color="000000" w:sz="8" w:space="0"/>
            </w:tcBorders>
            <w:noWrap w:val="0"/>
            <w:vAlign w:val="center"/>
            <w:tcPrChange w:id="2" w:author="Li" w:date="2025-08-11T09:55:38Z">
              <w:tcPr>
                <w:tcW w:w="374" w:type="pct"/>
                <w:gridSpan w:val="2"/>
                <w:vMerge w:val="continue"/>
                <w:tcBorders>
                  <w:top w:val="single" w:color="000000" w:sz="8" w:space="0"/>
                  <w:left w:val="single" w:color="000000" w:sz="8" w:space="0"/>
                  <w:bottom w:val="single" w:color="000000" w:sz="8" w:space="0"/>
                  <w:right w:val="single" w:color="000000" w:sz="8" w:space="0"/>
                </w:tcBorders>
                <w:noWrap w:val="0"/>
                <w:vAlign w:val="center"/>
              </w:tcPr>
            </w:tcPrChange>
          </w:tcPr>
          <w:p w14:paraId="0BA283E9">
            <w:pPr>
              <w:keepNext w:val="0"/>
              <w:keepLines w:val="0"/>
              <w:pageBreakBefore w:val="0"/>
              <w:kinsoku/>
              <w:overflowPunct/>
              <w:topLinePunct w:val="0"/>
              <w:bidi w:val="0"/>
              <w:spacing w:line="240" w:lineRule="auto"/>
              <w:rPr>
                <w:rFonts w:hint="eastAsia" w:ascii="宋体" w:hAnsi="宋体" w:eastAsia="宋体" w:cs="宋体"/>
                <w:b/>
                <w:bCs/>
                <w:color w:val="0000FF"/>
                <w:sz w:val="22"/>
                <w:szCs w:val="22"/>
                <w:highlight w:val="none"/>
              </w:rPr>
            </w:pPr>
          </w:p>
        </w:tc>
        <w:tc>
          <w:tcPr>
            <w:tcW w:w="374" w:type="pct"/>
            <w:tcBorders>
              <w:left w:val="single" w:color="000000" w:sz="8" w:space="0"/>
              <w:right w:val="single" w:color="000000" w:sz="8" w:space="0"/>
            </w:tcBorders>
            <w:noWrap w:val="0"/>
            <w:vAlign w:val="top"/>
            <w:tcPrChange w:id="3" w:author="Li" w:date="2025-08-11T09:55:38Z">
              <w:tcPr>
                <w:tcW w:w="374" w:type="pct"/>
                <w:gridSpan w:val="2"/>
                <w:vMerge w:val="continue"/>
                <w:tcBorders>
                  <w:left w:val="single" w:color="000000" w:sz="8" w:space="0"/>
                  <w:right w:val="single" w:color="000000" w:sz="8" w:space="0"/>
                </w:tcBorders>
                <w:noWrap w:val="0"/>
                <w:vAlign w:val="top"/>
              </w:tcPr>
            </w:tcPrChange>
          </w:tcPr>
          <w:p w14:paraId="3EDF88E2">
            <w:pPr>
              <w:keepNext w:val="0"/>
              <w:keepLines w:val="0"/>
              <w:pageBreakBefore w:val="0"/>
              <w:kinsoku/>
              <w:wordWrap w:val="0"/>
              <w:overflowPunct/>
              <w:topLinePunct w:val="0"/>
              <w:bidi w:val="0"/>
              <w:snapToGrid/>
              <w:spacing w:line="240" w:lineRule="auto"/>
              <w:jc w:val="center"/>
              <w:rPr>
                <w:rFonts w:hint="default" w:ascii="宋体" w:hAnsi="宋体" w:eastAsia="宋体" w:cs="宋体"/>
                <w:sz w:val="22"/>
                <w:szCs w:val="22"/>
                <w:highlight w:val="none"/>
                <w:lang w:val="en-US" w:eastAsia="zh-CN"/>
              </w:rPr>
            </w:pPr>
            <w:r>
              <w:rPr>
                <w:rFonts w:hint="eastAsia" w:ascii="宋体" w:hAnsi="宋体" w:cs="宋体"/>
                <w:sz w:val="22"/>
                <w:szCs w:val="22"/>
                <w:highlight w:val="none"/>
                <w:lang w:val="en-US" w:eastAsia="zh-CN"/>
              </w:rPr>
              <w:t>7</w:t>
            </w:r>
          </w:p>
        </w:tc>
        <w:tc>
          <w:tcPr>
            <w:tcW w:w="1090" w:type="pct"/>
            <w:tcBorders>
              <w:left w:val="single" w:color="000000" w:sz="8" w:space="0"/>
              <w:right w:val="single" w:color="000000" w:sz="8" w:space="0"/>
            </w:tcBorders>
            <w:noWrap w:val="0"/>
            <w:vAlign w:val="top"/>
            <w:tcPrChange w:id="4" w:author="Li" w:date="2025-08-11T09:55:38Z">
              <w:tcPr>
                <w:tcW w:w="1090" w:type="pct"/>
                <w:gridSpan w:val="2"/>
                <w:tcBorders>
                  <w:left w:val="single" w:color="000000" w:sz="8" w:space="0"/>
                  <w:right w:val="single" w:color="000000" w:sz="8" w:space="0"/>
                </w:tcBorders>
                <w:noWrap w:val="0"/>
                <w:vAlign w:val="center"/>
              </w:tcPr>
            </w:tcPrChange>
          </w:tcPr>
          <w:p w14:paraId="45D29EF9">
            <w:pPr>
              <w:jc w:val="center"/>
              <w:rPr>
                <w:rFonts w:hint="default" w:ascii="宋体" w:hAnsi="宋体" w:eastAsia="宋体"/>
                <w:szCs w:val="21"/>
                <w:highlight w:val="none"/>
                <w:lang w:val="en-US" w:eastAsia="zh-CN"/>
              </w:rPr>
            </w:pPr>
            <w:r>
              <w:rPr>
                <w:rFonts w:hint="eastAsia" w:ascii="宋体" w:hAnsi="宋体" w:eastAsia="宋体" w:cs="宋体"/>
                <w:sz w:val="22"/>
                <w:szCs w:val="22"/>
                <w:highlight w:val="none"/>
              </w:rPr>
              <w:t>拟派项目团队人员情况（项目负责人</w:t>
            </w:r>
            <w:r>
              <w:rPr>
                <w:rFonts w:hint="default" w:ascii="宋体" w:hAnsi="宋体" w:eastAsia="宋体" w:cs="宋体"/>
                <w:sz w:val="22"/>
                <w:szCs w:val="22"/>
                <w:highlight w:val="none"/>
              </w:rPr>
              <w:t>、主厨</w:t>
            </w:r>
            <w:r>
              <w:rPr>
                <w:rFonts w:hint="eastAsia" w:ascii="宋体" w:hAnsi="宋体" w:eastAsia="宋体" w:cs="宋体"/>
                <w:sz w:val="22"/>
                <w:szCs w:val="22"/>
                <w:highlight w:val="none"/>
              </w:rPr>
              <w:t>除外）</w:t>
            </w:r>
            <w:r>
              <w:rPr>
                <w:rFonts w:hint="default" w:ascii="宋体" w:hAnsi="宋体" w:cs="宋体"/>
                <w:sz w:val="22"/>
                <w:szCs w:val="22"/>
                <w:highlight w:val="none"/>
              </w:rPr>
              <w:t>-</w:t>
            </w:r>
            <w:r>
              <w:rPr>
                <w:rFonts w:hint="default" w:ascii="宋体" w:hAnsi="宋体" w:eastAsia="宋体"/>
                <w:szCs w:val="21"/>
                <w:highlight w:val="none"/>
              </w:rPr>
              <w:t>大</w:t>
            </w:r>
            <w:r>
              <w:rPr>
                <w:rFonts w:hint="eastAsia" w:ascii="宋体" w:hAnsi="宋体" w:eastAsia="宋体"/>
                <w:szCs w:val="21"/>
                <w:highlight w:val="none"/>
              </w:rPr>
              <w:t>厨</w:t>
            </w:r>
          </w:p>
          <w:p w14:paraId="1FE81C61">
            <w:pPr>
              <w:jc w:val="center"/>
              <w:rPr>
                <w:rFonts w:hint="eastAsia" w:ascii="宋体" w:hAnsi="宋体" w:eastAsia="宋体"/>
                <w:szCs w:val="21"/>
                <w:highlight w:val="none"/>
              </w:rPr>
            </w:pPr>
          </w:p>
          <w:p w14:paraId="278646EB">
            <w:pPr>
              <w:keepNext w:val="0"/>
              <w:keepLines w:val="0"/>
              <w:pageBreakBefore w:val="0"/>
              <w:kinsoku/>
              <w:wordWrap w:val="0"/>
              <w:overflowPunct/>
              <w:topLinePunct w:val="0"/>
              <w:bidi w:val="0"/>
              <w:snapToGrid/>
              <w:spacing w:line="240" w:lineRule="auto"/>
              <w:jc w:val="center"/>
              <w:rPr>
                <w:rFonts w:hint="eastAsia" w:ascii="宋体" w:hAnsi="宋体" w:eastAsia="宋体" w:cs="宋体"/>
                <w:sz w:val="22"/>
                <w:szCs w:val="22"/>
                <w:highlight w:val="none"/>
              </w:rPr>
            </w:pPr>
          </w:p>
        </w:tc>
        <w:tc>
          <w:tcPr>
            <w:tcW w:w="477" w:type="pct"/>
            <w:tcBorders>
              <w:top w:val="single" w:color="000000" w:sz="8" w:space="0"/>
              <w:left w:val="single" w:color="000000" w:sz="8" w:space="0"/>
              <w:bottom w:val="single" w:color="000000" w:sz="8" w:space="0"/>
              <w:right w:val="single" w:color="000000" w:sz="8" w:space="0"/>
            </w:tcBorders>
            <w:noWrap w:val="0"/>
            <w:vAlign w:val="top"/>
            <w:tcPrChange w:id="5" w:author="Li" w:date="2025-08-11T09:55:38Z">
              <w:tcPr>
                <w:tcW w:w="478" w:type="pct"/>
                <w:gridSpan w:val="2"/>
                <w:tcBorders>
                  <w:top w:val="single" w:color="000000" w:sz="8" w:space="0"/>
                  <w:left w:val="single" w:color="000000" w:sz="8" w:space="0"/>
                  <w:bottom w:val="single" w:color="000000" w:sz="8" w:space="0"/>
                  <w:right w:val="single" w:color="000000" w:sz="8" w:space="0"/>
                </w:tcBorders>
                <w:noWrap w:val="0"/>
                <w:vAlign w:val="center"/>
              </w:tcPr>
            </w:tcPrChange>
          </w:tcPr>
          <w:p w14:paraId="51AB22B6">
            <w:pPr>
              <w:keepNext w:val="0"/>
              <w:keepLines w:val="0"/>
              <w:pageBreakBefore w:val="0"/>
              <w:kinsoku/>
              <w:wordWrap w:val="0"/>
              <w:overflowPunct/>
              <w:topLinePunct w:val="0"/>
              <w:bidi w:val="0"/>
              <w:snapToGrid/>
              <w:spacing w:line="240" w:lineRule="auto"/>
              <w:jc w:val="center"/>
              <w:rPr>
                <w:rFonts w:hint="default" w:ascii="宋体" w:hAnsi="宋体" w:eastAsia="宋体" w:cs="宋体"/>
                <w:sz w:val="22"/>
                <w:szCs w:val="22"/>
                <w:highlight w:val="none"/>
                <w:lang w:eastAsia="zh-CN"/>
              </w:rPr>
            </w:pPr>
            <w:r>
              <w:rPr>
                <w:rFonts w:hint="default" w:ascii="宋体" w:hAnsi="宋体" w:cs="宋体"/>
                <w:sz w:val="22"/>
                <w:szCs w:val="22"/>
                <w:highlight w:val="none"/>
                <w:lang w:eastAsia="zh-CN"/>
              </w:rPr>
              <w:t>8</w:t>
            </w:r>
          </w:p>
        </w:tc>
        <w:tc>
          <w:tcPr>
            <w:tcW w:w="2683" w:type="pct"/>
            <w:tcBorders>
              <w:top w:val="single" w:color="000000" w:sz="8" w:space="0"/>
              <w:left w:val="single" w:color="000000" w:sz="8" w:space="0"/>
              <w:bottom w:val="single" w:color="000000" w:sz="8" w:space="0"/>
              <w:right w:val="single" w:color="000000" w:sz="8" w:space="0"/>
            </w:tcBorders>
            <w:noWrap w:val="0"/>
            <w:vAlign w:val="top"/>
            <w:tcPrChange w:id="6" w:author="Li" w:date="2025-08-11T09:55:38Z">
              <w:tcPr>
                <w:tcW w:w="2682" w:type="pct"/>
                <w:gridSpan w:val="2"/>
                <w:tcBorders>
                  <w:top w:val="single" w:color="000000" w:sz="8" w:space="0"/>
                  <w:left w:val="single" w:color="000000" w:sz="8" w:space="0"/>
                  <w:bottom w:val="single" w:color="000000" w:sz="8" w:space="0"/>
                  <w:right w:val="single" w:color="000000" w:sz="8" w:space="0"/>
                </w:tcBorders>
                <w:noWrap w:val="0"/>
                <w:vAlign w:val="top"/>
              </w:tcPr>
            </w:tcPrChange>
          </w:tcPr>
          <w:p w14:paraId="6364F2FB">
            <w:pPr>
              <w:numPr>
                <w:ilvl w:val="0"/>
                <w:numId w:val="0"/>
              </w:numPr>
              <w:jc w:val="both"/>
              <w:rPr>
                <w:rFonts w:hint="eastAsia" w:ascii="Times New Roman" w:hAnsi="Times New Roman" w:eastAsia="宋体" w:cs="Times New Roman"/>
                <w:b/>
                <w:bCs/>
                <w:highlight w:val="none"/>
              </w:rPr>
            </w:pPr>
            <w:r>
              <w:rPr>
                <w:rFonts w:hint="eastAsia" w:ascii="宋体" w:hAnsi="宋体" w:eastAsia="宋体"/>
                <w:b/>
                <w:bCs/>
                <w:szCs w:val="21"/>
                <w:highlight w:val="none"/>
                <w:lang w:val="en-US" w:eastAsia="zh-CN"/>
              </w:rPr>
              <w:t>（一）</w:t>
            </w:r>
            <w:r>
              <w:rPr>
                <w:rFonts w:hint="eastAsia" w:ascii="Times New Roman" w:hAnsi="Times New Roman" w:eastAsia="宋体" w:cs="Times New Roman"/>
                <w:b/>
                <w:bCs/>
                <w:highlight w:val="none"/>
              </w:rPr>
              <w:t>评审内容：</w:t>
            </w:r>
          </w:p>
          <w:p w14:paraId="3038B08F">
            <w:pPr>
              <w:jc w:val="both"/>
              <w:rPr>
                <w:rFonts w:hint="eastAsia" w:ascii="宋体" w:hAnsi="宋体" w:eastAsia="宋体"/>
                <w:szCs w:val="21"/>
                <w:highlight w:val="none"/>
              </w:rPr>
            </w:pPr>
            <w:r>
              <w:rPr>
                <w:rFonts w:hint="default" w:ascii="宋体" w:hAnsi="宋体" w:eastAsia="宋体"/>
                <w:szCs w:val="21"/>
                <w:highlight w:val="none"/>
              </w:rPr>
              <w:t>①</w:t>
            </w:r>
            <w:r>
              <w:rPr>
                <w:rFonts w:hint="eastAsia" w:ascii="宋体" w:hAnsi="宋体" w:eastAsia="宋体"/>
                <w:szCs w:val="21"/>
                <w:highlight w:val="none"/>
              </w:rPr>
              <w:t>具有</w:t>
            </w:r>
            <w:r>
              <w:rPr>
                <w:rFonts w:hint="eastAsia" w:ascii="宋体" w:hAnsi="宋体" w:eastAsia="宋体"/>
                <w:szCs w:val="21"/>
                <w:highlight w:val="yellow"/>
              </w:rPr>
              <w:t>人社部(或人社部备案的评价机构)颁发的</w:t>
            </w:r>
            <w:r>
              <w:rPr>
                <w:rFonts w:hint="eastAsia" w:ascii="宋体" w:hAnsi="宋体" w:eastAsia="宋体"/>
                <w:szCs w:val="21"/>
                <w:highlight w:val="none"/>
              </w:rPr>
              <w:t>中式烹调师二级或以上证书</w:t>
            </w:r>
            <w:r>
              <w:rPr>
                <w:rFonts w:hint="default" w:ascii="宋体" w:hAnsi="宋体" w:eastAsia="宋体"/>
                <w:szCs w:val="21"/>
                <w:highlight w:val="none"/>
              </w:rPr>
              <w:t>，</w:t>
            </w:r>
            <w:r>
              <w:rPr>
                <w:rFonts w:hint="eastAsia" w:ascii="宋体" w:hAnsi="宋体" w:eastAsia="宋体"/>
                <w:szCs w:val="21"/>
                <w:highlight w:val="none"/>
              </w:rPr>
              <w:t>每一人得</w:t>
            </w:r>
            <w:r>
              <w:rPr>
                <w:rFonts w:hint="default" w:ascii="宋体" w:hAnsi="宋体"/>
                <w:szCs w:val="21"/>
                <w:highlight w:val="none"/>
              </w:rPr>
              <w:t>1</w:t>
            </w:r>
            <w:r>
              <w:rPr>
                <w:rFonts w:hint="eastAsia" w:ascii="宋体" w:hAnsi="宋体" w:eastAsia="宋体"/>
                <w:szCs w:val="21"/>
                <w:highlight w:val="none"/>
              </w:rPr>
              <w:t>分，最高得</w:t>
            </w:r>
            <w:r>
              <w:rPr>
                <w:rFonts w:hint="default" w:ascii="宋体" w:hAnsi="宋体"/>
                <w:szCs w:val="21"/>
                <w:highlight w:val="none"/>
              </w:rPr>
              <w:t>2</w:t>
            </w:r>
            <w:r>
              <w:rPr>
                <w:rFonts w:hint="eastAsia" w:ascii="宋体" w:hAnsi="宋体" w:eastAsia="宋体"/>
                <w:szCs w:val="21"/>
                <w:highlight w:val="none"/>
              </w:rPr>
              <w:t>分；</w:t>
            </w:r>
          </w:p>
          <w:p w14:paraId="2562DABA">
            <w:pPr>
              <w:jc w:val="both"/>
              <w:rPr>
                <w:rFonts w:hint="eastAsia" w:ascii="宋体" w:hAnsi="宋体" w:eastAsia="宋体"/>
                <w:szCs w:val="21"/>
                <w:highlight w:val="none"/>
              </w:rPr>
            </w:pPr>
            <w:r>
              <w:rPr>
                <w:rFonts w:hint="default" w:ascii="宋体" w:hAnsi="宋体" w:eastAsia="宋体"/>
                <w:szCs w:val="21"/>
                <w:highlight w:val="none"/>
              </w:rPr>
              <w:t>②</w:t>
            </w:r>
            <w:r>
              <w:rPr>
                <w:rFonts w:hint="eastAsia" w:ascii="宋体" w:hAnsi="宋体" w:eastAsia="宋体"/>
                <w:szCs w:val="21"/>
                <w:highlight w:val="none"/>
              </w:rPr>
              <w:t>具有</w:t>
            </w:r>
            <w:r>
              <w:rPr>
                <w:rFonts w:hint="eastAsia" w:ascii="宋体" w:hAnsi="宋体" w:eastAsia="宋体"/>
                <w:szCs w:val="21"/>
                <w:highlight w:val="yellow"/>
              </w:rPr>
              <w:t>人社部(或人社部备案的评价机构)颁发的</w:t>
            </w:r>
            <w:r>
              <w:rPr>
                <w:rFonts w:hint="eastAsia" w:ascii="宋体" w:hAnsi="宋体" w:eastAsia="宋体"/>
                <w:szCs w:val="21"/>
                <w:highlight w:val="none"/>
              </w:rPr>
              <w:t>公共营养师三级或以上证书</w:t>
            </w:r>
            <w:r>
              <w:rPr>
                <w:rFonts w:hint="default" w:ascii="宋体" w:hAnsi="宋体" w:eastAsia="宋体"/>
                <w:szCs w:val="21"/>
                <w:highlight w:val="none"/>
              </w:rPr>
              <w:t>，</w:t>
            </w:r>
            <w:r>
              <w:rPr>
                <w:rFonts w:hint="eastAsia" w:ascii="宋体" w:hAnsi="宋体" w:eastAsia="宋体"/>
                <w:szCs w:val="21"/>
                <w:highlight w:val="none"/>
              </w:rPr>
              <w:t>每一人得</w:t>
            </w:r>
            <w:r>
              <w:rPr>
                <w:rFonts w:hint="default" w:ascii="宋体" w:hAnsi="宋体"/>
                <w:szCs w:val="21"/>
                <w:highlight w:val="none"/>
              </w:rPr>
              <w:t>1</w:t>
            </w:r>
            <w:r>
              <w:rPr>
                <w:rFonts w:hint="eastAsia" w:ascii="宋体" w:hAnsi="宋体" w:eastAsia="宋体"/>
                <w:szCs w:val="21"/>
                <w:highlight w:val="none"/>
              </w:rPr>
              <w:t>分，最高得</w:t>
            </w:r>
            <w:r>
              <w:rPr>
                <w:rFonts w:hint="default" w:ascii="宋体" w:hAnsi="宋体"/>
                <w:szCs w:val="21"/>
                <w:highlight w:val="none"/>
              </w:rPr>
              <w:t>2</w:t>
            </w:r>
            <w:r>
              <w:rPr>
                <w:rFonts w:hint="eastAsia" w:ascii="宋体" w:hAnsi="宋体" w:eastAsia="宋体"/>
                <w:szCs w:val="21"/>
                <w:highlight w:val="none"/>
              </w:rPr>
              <w:t>分；</w:t>
            </w:r>
          </w:p>
          <w:p w14:paraId="5FEC98C0">
            <w:pPr>
              <w:jc w:val="both"/>
              <w:rPr>
                <w:rFonts w:hint="eastAsia" w:ascii="宋体" w:hAnsi="宋体" w:eastAsia="宋体"/>
                <w:szCs w:val="21"/>
                <w:highlight w:val="none"/>
                <w:lang w:eastAsia="zh-CN"/>
              </w:rPr>
            </w:pPr>
            <w:r>
              <w:rPr>
                <w:rFonts w:hint="default" w:ascii="宋体" w:hAnsi="宋体" w:eastAsia="宋体"/>
                <w:szCs w:val="21"/>
                <w:highlight w:val="none"/>
              </w:rPr>
              <w:t>③</w:t>
            </w:r>
            <w:r>
              <w:rPr>
                <w:rFonts w:hint="eastAsia" w:ascii="宋体" w:hAnsi="宋体" w:eastAsia="宋体"/>
                <w:szCs w:val="21"/>
                <w:highlight w:val="none"/>
              </w:rPr>
              <w:t>具有</w:t>
            </w:r>
            <w:r>
              <w:rPr>
                <w:rFonts w:hint="eastAsia" w:ascii="宋体" w:hAnsi="宋体" w:eastAsia="宋体"/>
                <w:szCs w:val="21"/>
                <w:highlight w:val="yellow"/>
              </w:rPr>
              <w:t>餐饮管理师</w:t>
            </w:r>
            <w:r>
              <w:rPr>
                <w:rFonts w:hint="default" w:ascii="宋体" w:hAnsi="宋体" w:eastAsia="宋体"/>
                <w:szCs w:val="21"/>
                <w:highlight w:val="yellow"/>
              </w:rPr>
              <w:t>二级以上</w:t>
            </w:r>
            <w:r>
              <w:rPr>
                <w:rFonts w:hint="eastAsia" w:ascii="宋体" w:hAnsi="宋体" w:eastAsia="宋体"/>
                <w:szCs w:val="21"/>
                <w:highlight w:val="yellow"/>
              </w:rPr>
              <w:t>证书</w:t>
            </w:r>
            <w:r>
              <w:rPr>
                <w:rFonts w:hint="default" w:ascii="宋体" w:hAnsi="宋体" w:eastAsia="宋体"/>
                <w:szCs w:val="21"/>
                <w:highlight w:val="yellow"/>
              </w:rPr>
              <w:t>，</w:t>
            </w:r>
            <w:r>
              <w:rPr>
                <w:rFonts w:hint="eastAsia" w:ascii="宋体" w:hAnsi="宋体" w:eastAsia="宋体"/>
                <w:szCs w:val="21"/>
                <w:highlight w:val="none"/>
              </w:rPr>
              <w:t>每一人得</w:t>
            </w:r>
            <w:r>
              <w:rPr>
                <w:rFonts w:hint="default" w:ascii="宋体" w:hAnsi="宋体"/>
                <w:szCs w:val="21"/>
                <w:highlight w:val="none"/>
              </w:rPr>
              <w:t>1</w:t>
            </w:r>
            <w:r>
              <w:rPr>
                <w:rFonts w:hint="eastAsia" w:ascii="宋体" w:hAnsi="宋体" w:eastAsia="宋体"/>
                <w:szCs w:val="21"/>
                <w:highlight w:val="none"/>
              </w:rPr>
              <w:t>分，最高得</w:t>
            </w:r>
            <w:r>
              <w:rPr>
                <w:rFonts w:hint="default" w:ascii="宋体" w:hAnsi="宋体"/>
                <w:szCs w:val="21"/>
                <w:highlight w:val="none"/>
              </w:rPr>
              <w:t>2</w:t>
            </w:r>
            <w:r>
              <w:rPr>
                <w:rFonts w:hint="eastAsia" w:ascii="宋体" w:hAnsi="宋体" w:eastAsia="宋体"/>
                <w:szCs w:val="21"/>
                <w:highlight w:val="none"/>
              </w:rPr>
              <w:t>分</w:t>
            </w:r>
            <w:r>
              <w:rPr>
                <w:rFonts w:hint="eastAsia" w:ascii="宋体" w:hAnsi="宋体"/>
                <w:szCs w:val="21"/>
                <w:highlight w:val="none"/>
                <w:lang w:eastAsia="zh-CN"/>
              </w:rPr>
              <w:t>；</w:t>
            </w:r>
          </w:p>
          <w:p w14:paraId="5FCFE44D">
            <w:pPr>
              <w:jc w:val="both"/>
              <w:rPr>
                <w:rFonts w:hint="default" w:ascii="宋体" w:hAnsi="宋体" w:eastAsia="宋体"/>
                <w:szCs w:val="21"/>
                <w:highlight w:val="none"/>
              </w:rPr>
            </w:pPr>
            <w:r>
              <w:rPr>
                <w:rFonts w:hint="default" w:ascii="宋体" w:hAnsi="宋体" w:eastAsia="宋体"/>
                <w:szCs w:val="21"/>
                <w:highlight w:val="none"/>
              </w:rPr>
              <w:t>④具有2年以上餐饮工作经验，</w:t>
            </w:r>
            <w:r>
              <w:rPr>
                <w:rFonts w:hint="eastAsia" w:ascii="宋体" w:hAnsi="宋体" w:eastAsia="宋体"/>
                <w:szCs w:val="21"/>
                <w:highlight w:val="none"/>
              </w:rPr>
              <w:t>每一人得</w:t>
            </w:r>
            <w:r>
              <w:rPr>
                <w:rFonts w:hint="default" w:ascii="宋体" w:hAnsi="宋体" w:eastAsia="宋体"/>
                <w:szCs w:val="21"/>
                <w:highlight w:val="none"/>
              </w:rPr>
              <w:t>1</w:t>
            </w:r>
            <w:r>
              <w:rPr>
                <w:rFonts w:hint="eastAsia" w:ascii="宋体" w:hAnsi="宋体" w:eastAsia="宋体"/>
                <w:szCs w:val="21"/>
                <w:highlight w:val="none"/>
              </w:rPr>
              <w:t>分，最高得</w:t>
            </w:r>
            <w:r>
              <w:rPr>
                <w:rFonts w:hint="default" w:ascii="宋体" w:hAnsi="宋体" w:eastAsia="宋体"/>
                <w:szCs w:val="21"/>
                <w:highlight w:val="none"/>
              </w:rPr>
              <w:t>2</w:t>
            </w:r>
            <w:r>
              <w:rPr>
                <w:rFonts w:hint="eastAsia" w:ascii="宋体" w:hAnsi="宋体" w:eastAsia="宋体"/>
                <w:szCs w:val="21"/>
                <w:highlight w:val="none"/>
              </w:rPr>
              <w:t>分</w:t>
            </w:r>
            <w:r>
              <w:rPr>
                <w:rFonts w:hint="default" w:ascii="宋体" w:hAnsi="宋体" w:eastAsia="宋体"/>
                <w:szCs w:val="21"/>
                <w:highlight w:val="none"/>
              </w:rPr>
              <w:t>。</w:t>
            </w:r>
          </w:p>
          <w:p w14:paraId="26805C57">
            <w:pPr>
              <w:jc w:val="both"/>
              <w:rPr>
                <w:rFonts w:hint="eastAsia" w:ascii="宋体" w:hAnsi="宋体" w:eastAsia="宋体"/>
                <w:szCs w:val="21"/>
                <w:highlight w:val="none"/>
              </w:rPr>
            </w:pPr>
            <w:r>
              <w:rPr>
                <w:rFonts w:hint="eastAsia" w:ascii="宋体" w:hAnsi="宋体" w:eastAsia="宋体"/>
                <w:szCs w:val="21"/>
                <w:highlight w:val="none"/>
              </w:rPr>
              <w:t>第</w:t>
            </w:r>
            <w:r>
              <w:rPr>
                <w:rFonts w:hint="default" w:ascii="宋体" w:hAnsi="宋体" w:eastAsia="宋体"/>
                <w:szCs w:val="21"/>
                <w:highlight w:val="none"/>
              </w:rPr>
              <w:t>①</w:t>
            </w:r>
            <w:r>
              <w:rPr>
                <w:rFonts w:hint="eastAsia" w:ascii="宋体" w:hAnsi="宋体" w:eastAsia="宋体"/>
                <w:szCs w:val="21"/>
                <w:highlight w:val="none"/>
              </w:rPr>
              <w:t>-</w:t>
            </w:r>
            <w:r>
              <w:rPr>
                <w:rFonts w:hint="default" w:ascii="宋体" w:hAnsi="宋体" w:eastAsia="宋体"/>
                <w:szCs w:val="21"/>
                <w:highlight w:val="none"/>
              </w:rPr>
              <w:t>③</w:t>
            </w:r>
            <w:r>
              <w:rPr>
                <w:rFonts w:hint="eastAsia" w:ascii="宋体" w:hAnsi="宋体" w:eastAsia="宋体"/>
                <w:szCs w:val="21"/>
                <w:highlight w:val="none"/>
              </w:rPr>
              <w:t>项中的同一人</w:t>
            </w:r>
            <w:r>
              <w:rPr>
                <w:rFonts w:hint="default" w:ascii="宋体" w:hAnsi="宋体"/>
                <w:szCs w:val="21"/>
                <w:highlight w:val="none"/>
              </w:rPr>
              <w:t>最高不得超过3分</w:t>
            </w:r>
            <w:r>
              <w:rPr>
                <w:rFonts w:hint="eastAsia" w:ascii="宋体" w:hAnsi="宋体" w:eastAsia="宋体"/>
                <w:szCs w:val="21"/>
                <w:highlight w:val="none"/>
              </w:rPr>
              <w:t>。本项以上分项累计最高得</w:t>
            </w:r>
            <w:r>
              <w:rPr>
                <w:rFonts w:hint="default" w:ascii="宋体" w:hAnsi="宋体"/>
                <w:szCs w:val="21"/>
                <w:highlight w:val="none"/>
              </w:rPr>
              <w:t>8</w:t>
            </w:r>
            <w:r>
              <w:rPr>
                <w:rFonts w:hint="eastAsia" w:ascii="宋体" w:hAnsi="宋体" w:eastAsia="宋体"/>
                <w:szCs w:val="21"/>
                <w:highlight w:val="none"/>
              </w:rPr>
              <w:t>分。</w:t>
            </w:r>
          </w:p>
          <w:p w14:paraId="0179A3F1">
            <w:pPr>
              <w:numPr>
                <w:ilvl w:val="0"/>
                <w:numId w:val="0"/>
              </w:numPr>
              <w:jc w:val="both"/>
              <w:rPr>
                <w:rFonts w:hint="eastAsia"/>
                <w:b/>
                <w:bCs/>
                <w:highlight w:val="none"/>
              </w:rPr>
            </w:pPr>
            <w:r>
              <w:rPr>
                <w:rFonts w:hint="eastAsia" w:ascii="宋体" w:hAnsi="宋体"/>
                <w:b/>
                <w:bCs/>
                <w:szCs w:val="21"/>
                <w:highlight w:val="none"/>
                <w:lang w:eastAsia="zh-CN"/>
              </w:rPr>
              <w:t>（二）</w:t>
            </w:r>
            <w:r>
              <w:rPr>
                <w:rFonts w:hint="eastAsia" w:ascii="宋体" w:hAnsi="宋体" w:eastAsia="宋体"/>
                <w:b/>
                <w:bCs/>
                <w:szCs w:val="21"/>
                <w:highlight w:val="none"/>
              </w:rPr>
              <w:t>评审依据：</w:t>
            </w:r>
          </w:p>
          <w:p w14:paraId="2D5757E8">
            <w:pPr>
              <w:jc w:val="both"/>
              <w:rPr>
                <w:rFonts w:hint="eastAsia" w:ascii="宋体" w:hAnsi="宋体" w:eastAsia="宋体"/>
                <w:szCs w:val="21"/>
                <w:highlight w:val="none"/>
                <w:lang w:eastAsia="zh-CN"/>
              </w:rPr>
            </w:pPr>
            <w:r>
              <w:rPr>
                <w:rFonts w:hint="eastAsia" w:ascii="宋体" w:hAnsi="宋体" w:eastAsia="宋体"/>
                <w:szCs w:val="21"/>
                <w:highlight w:val="none"/>
              </w:rPr>
              <w:t>①提供投标人为拟派人员缴纳的近3个月社保证明扫描件（以养老保险为准，如截标日上1个月的社保材料因社保部门原因暂时无法取得，则可以往前顺延1个月）；投标人若为新成立</w:t>
            </w:r>
            <w:r>
              <w:rPr>
                <w:rFonts w:hint="eastAsia" w:ascii="宋体" w:hAnsi="宋体"/>
                <w:szCs w:val="21"/>
                <w:highlight w:val="none"/>
                <w:lang w:eastAsia="zh-CN"/>
              </w:rPr>
              <w:t>的企业：</w:t>
            </w:r>
            <w:r>
              <w:rPr>
                <w:rFonts w:hint="eastAsia" w:ascii="宋体" w:hAnsi="宋体" w:eastAsia="宋体"/>
                <w:szCs w:val="21"/>
                <w:highlight w:val="none"/>
              </w:rPr>
              <w:t>成立时间不足3个月的</w:t>
            </w:r>
            <w:r>
              <w:rPr>
                <w:rFonts w:hint="eastAsia" w:ascii="宋体" w:hAnsi="宋体"/>
                <w:szCs w:val="21"/>
                <w:highlight w:val="none"/>
                <w:lang w:eastAsia="zh-CN"/>
              </w:rPr>
              <w:t>，</w:t>
            </w:r>
            <w:r>
              <w:rPr>
                <w:rFonts w:hint="eastAsia" w:ascii="宋体" w:hAnsi="宋体" w:eastAsia="宋体"/>
                <w:szCs w:val="21"/>
                <w:highlight w:val="none"/>
              </w:rPr>
              <w:t>按成立时限提供；成立时间不足1个月的</w:t>
            </w:r>
            <w:r>
              <w:rPr>
                <w:rFonts w:hint="eastAsia" w:ascii="宋体" w:hAnsi="宋体"/>
                <w:szCs w:val="21"/>
                <w:highlight w:val="none"/>
                <w:lang w:eastAsia="zh-CN"/>
              </w:rPr>
              <w:t>，</w:t>
            </w:r>
            <w:r>
              <w:rPr>
                <w:rFonts w:hint="eastAsia" w:ascii="宋体" w:hAnsi="宋体" w:eastAsia="宋体"/>
                <w:szCs w:val="21"/>
                <w:highlight w:val="none"/>
              </w:rPr>
              <w:t>提供承诺函承诺为投标人自有员工</w:t>
            </w:r>
            <w:r>
              <w:rPr>
                <w:rFonts w:hint="eastAsia" w:ascii="宋体" w:hAnsi="宋体"/>
                <w:szCs w:val="21"/>
                <w:highlight w:val="none"/>
                <w:lang w:eastAsia="zh-CN"/>
              </w:rPr>
              <w:t>。</w:t>
            </w:r>
          </w:p>
          <w:p w14:paraId="67EAE0B9">
            <w:pPr>
              <w:jc w:val="both"/>
              <w:rPr>
                <w:rFonts w:hint="eastAsia" w:ascii="宋体" w:hAnsi="宋体"/>
                <w:szCs w:val="21"/>
                <w:highlight w:val="none"/>
                <w:lang w:eastAsia="zh-CN"/>
              </w:rPr>
            </w:pPr>
            <w:r>
              <w:rPr>
                <w:rFonts w:hint="default" w:ascii="宋体" w:hAnsi="宋体"/>
                <w:szCs w:val="21"/>
                <w:highlight w:val="none"/>
              </w:rPr>
              <w:t>②</w:t>
            </w:r>
            <w:r>
              <w:rPr>
                <w:rFonts w:hint="eastAsia" w:ascii="宋体" w:hAnsi="宋体" w:eastAsia="宋体"/>
                <w:szCs w:val="21"/>
                <w:highlight w:val="none"/>
              </w:rPr>
              <w:t>第</w:t>
            </w:r>
            <w:r>
              <w:rPr>
                <w:rFonts w:hint="default" w:ascii="宋体" w:hAnsi="宋体" w:eastAsia="宋体"/>
                <w:szCs w:val="21"/>
                <w:highlight w:val="none"/>
              </w:rPr>
              <w:t>①</w:t>
            </w:r>
            <w:r>
              <w:rPr>
                <w:rFonts w:hint="eastAsia" w:ascii="宋体" w:hAnsi="宋体" w:eastAsia="宋体"/>
                <w:szCs w:val="21"/>
                <w:highlight w:val="none"/>
              </w:rPr>
              <w:t>②项</w:t>
            </w:r>
            <w:r>
              <w:rPr>
                <w:rFonts w:hint="eastAsia" w:ascii="宋体" w:hAnsi="宋体"/>
                <w:szCs w:val="21"/>
                <w:highlight w:val="none"/>
                <w:lang w:eastAsia="zh-CN"/>
              </w:rPr>
              <w:t>提供</w:t>
            </w:r>
            <w:r>
              <w:rPr>
                <w:rFonts w:hint="eastAsia" w:ascii="宋体" w:hAnsi="宋体" w:eastAsia="宋体"/>
                <w:szCs w:val="21"/>
                <w:highlight w:val="none"/>
              </w:rPr>
              <w:t>相关证书扫描件和“技能人才评价证书全国联网查询（http://zscx.osta.org.cn/）”查询截图</w:t>
            </w:r>
            <w:r>
              <w:rPr>
                <w:rFonts w:hint="eastAsia" w:ascii="宋体" w:hAnsi="宋体"/>
                <w:szCs w:val="21"/>
                <w:highlight w:val="none"/>
                <w:lang w:eastAsia="zh-CN"/>
              </w:rPr>
              <w:t>。</w:t>
            </w:r>
          </w:p>
          <w:p w14:paraId="6E037447">
            <w:pPr>
              <w:jc w:val="both"/>
              <w:rPr>
                <w:rFonts w:hint="eastAsia" w:ascii="宋体" w:hAnsi="宋体" w:eastAsia="宋体"/>
                <w:szCs w:val="21"/>
                <w:highlight w:val="yellow"/>
                <w:lang w:eastAsia="zh-CN"/>
              </w:rPr>
            </w:pPr>
            <w:r>
              <w:rPr>
                <w:rFonts w:hint="eastAsia" w:ascii="宋体" w:hAnsi="宋体" w:eastAsia="宋体"/>
                <w:szCs w:val="21"/>
                <w:highlight w:val="yellow"/>
                <w:lang w:eastAsia="zh-CN"/>
              </w:rPr>
              <w:t>③</w:t>
            </w:r>
            <w:r>
              <w:rPr>
                <w:rFonts w:hint="eastAsia" w:ascii="宋体" w:hAnsi="宋体"/>
                <w:szCs w:val="21"/>
                <w:highlight w:val="yellow"/>
                <w:lang w:eastAsia="zh-CN"/>
              </w:rPr>
              <w:t>第③项提供相关证书扫描件</w:t>
            </w:r>
            <w:r>
              <w:rPr>
                <w:rFonts w:hint="eastAsia" w:ascii="宋体" w:hAnsi="宋体" w:eastAsia="宋体" w:cs="宋体"/>
                <w:sz w:val="22"/>
                <w:szCs w:val="22"/>
                <w:highlight w:val="yellow"/>
              </w:rPr>
              <w:t>。</w:t>
            </w:r>
          </w:p>
          <w:p w14:paraId="2321DBCE">
            <w:pPr>
              <w:jc w:val="both"/>
              <w:rPr>
                <w:rFonts w:hint="eastAsia" w:ascii="宋体" w:hAnsi="宋体" w:eastAsia="宋体"/>
                <w:szCs w:val="21"/>
                <w:highlight w:val="none"/>
                <w:lang w:eastAsia="zh-CN"/>
              </w:rPr>
            </w:pPr>
            <w:r>
              <w:rPr>
                <w:rFonts w:hint="default" w:ascii="宋体" w:hAnsi="宋体"/>
                <w:szCs w:val="21"/>
                <w:highlight w:val="none"/>
              </w:rPr>
              <w:t>④</w:t>
            </w:r>
            <w:r>
              <w:rPr>
                <w:rFonts w:hint="eastAsia" w:ascii="宋体" w:hAnsi="宋体" w:eastAsia="宋体"/>
                <w:szCs w:val="21"/>
                <w:highlight w:val="none"/>
              </w:rPr>
              <w:t>相关经验可提供多家所服务餐饮服务企业为其缴纳社保的参保证明或多家公司不同时间段的工作经验证明，证明材料将累计社保缴纳时间或累计工作经验证明工作时间</w:t>
            </w:r>
            <w:r>
              <w:rPr>
                <w:rFonts w:hint="eastAsia" w:ascii="宋体" w:hAnsi="宋体"/>
                <w:szCs w:val="21"/>
                <w:highlight w:val="none"/>
                <w:lang w:eastAsia="zh-CN"/>
              </w:rPr>
              <w:t>。</w:t>
            </w:r>
          </w:p>
          <w:p w14:paraId="5B17250D">
            <w:pPr>
              <w:jc w:val="both"/>
              <w:rPr>
                <w:rFonts w:hint="eastAsia" w:ascii="宋体" w:hAnsi="宋体" w:eastAsia="宋体" w:cs="Times New Roman"/>
                <w:kern w:val="2"/>
                <w:sz w:val="21"/>
                <w:szCs w:val="21"/>
                <w:highlight w:val="none"/>
                <w:lang w:val="en-US" w:eastAsia="zh-CN" w:bidi="ar-SA"/>
              </w:rPr>
            </w:pPr>
            <w:r>
              <w:rPr>
                <w:rFonts w:hint="default" w:ascii="宋体" w:hAnsi="宋体" w:eastAsia="宋体"/>
                <w:szCs w:val="21"/>
                <w:highlight w:val="none"/>
                <w:lang w:eastAsia="zh-CN"/>
              </w:rPr>
              <w:t>⑤</w:t>
            </w:r>
            <w:r>
              <w:rPr>
                <w:rFonts w:hint="eastAsia" w:ascii="宋体" w:hAnsi="宋体" w:eastAsia="宋体"/>
                <w:szCs w:val="21"/>
                <w:highlight w:val="none"/>
              </w:rPr>
              <w:t>未按要求提供或提供不清晰导致专家无法判断的不得分，原件备查。</w:t>
            </w:r>
          </w:p>
        </w:tc>
      </w:tr>
      <w:tr w14:paraId="15E69D0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Change w:id="7" w:author="Li" w:date="2025-08-11T09:55:38Z">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blPrExChange>
        </w:tblPrEx>
        <w:trPr>
          <w:wAfter w:w="0" w:type="auto"/>
          <w:trHeight w:val="0" w:hRule="atLeast"/>
          <w:jc w:val="center"/>
          <w:trPrChange w:id="7" w:author="Li" w:date="2025-08-11T09:55:38Z">
            <w:trPr>
              <w:gridAfter w:val="1"/>
              <w:wAfter w:w="2" w:type="dxa"/>
              <w:trHeight w:val="0" w:hRule="atLeast"/>
              <w:jc w:val="center"/>
            </w:trPr>
          </w:trPrChange>
        </w:trPr>
        <w:tc>
          <w:tcPr>
            <w:tcW w:w="374" w:type="pct"/>
            <w:vMerge w:val="continue"/>
            <w:tcBorders>
              <w:top w:val="single" w:color="000000" w:sz="8" w:space="0"/>
              <w:left w:val="single" w:color="000000" w:sz="8" w:space="0"/>
              <w:bottom w:val="single" w:color="000000" w:sz="8" w:space="0"/>
              <w:right w:val="single" w:color="000000" w:sz="8" w:space="0"/>
            </w:tcBorders>
            <w:noWrap w:val="0"/>
            <w:vAlign w:val="center"/>
            <w:tcPrChange w:id="8" w:author="Li" w:date="2025-08-11T09:55:38Z">
              <w:tcPr>
                <w:tcW w:w="374" w:type="pct"/>
                <w:gridSpan w:val="2"/>
                <w:vMerge w:val="continue"/>
                <w:tcBorders>
                  <w:top w:val="single" w:color="000000" w:sz="8" w:space="0"/>
                  <w:left w:val="single" w:color="000000" w:sz="8" w:space="0"/>
                  <w:bottom w:val="single" w:color="000000" w:sz="8" w:space="0"/>
                  <w:right w:val="single" w:color="000000" w:sz="8" w:space="0"/>
                </w:tcBorders>
                <w:noWrap w:val="0"/>
                <w:vAlign w:val="center"/>
              </w:tcPr>
            </w:tcPrChange>
          </w:tcPr>
          <w:p w14:paraId="66262144">
            <w:pPr>
              <w:keepNext w:val="0"/>
              <w:keepLines w:val="0"/>
              <w:pageBreakBefore w:val="0"/>
              <w:kinsoku/>
              <w:overflowPunct/>
              <w:topLinePunct w:val="0"/>
              <w:bidi w:val="0"/>
              <w:spacing w:line="240" w:lineRule="auto"/>
              <w:rPr>
                <w:rFonts w:hint="eastAsia" w:ascii="宋体" w:hAnsi="宋体" w:eastAsia="宋体" w:cs="宋体"/>
                <w:b/>
                <w:bCs/>
                <w:color w:val="0000FF"/>
                <w:sz w:val="22"/>
                <w:szCs w:val="22"/>
                <w:highlight w:val="none"/>
              </w:rPr>
            </w:pPr>
          </w:p>
        </w:tc>
        <w:tc>
          <w:tcPr>
            <w:tcW w:w="374" w:type="pct"/>
            <w:tcBorders>
              <w:left w:val="single" w:color="000000" w:sz="8" w:space="0"/>
              <w:right w:val="single" w:color="000000" w:sz="8" w:space="0"/>
            </w:tcBorders>
            <w:noWrap w:val="0"/>
            <w:vAlign w:val="top"/>
            <w:tcPrChange w:id="9" w:author="Li" w:date="2025-08-11T09:55:38Z">
              <w:tcPr>
                <w:tcW w:w="374" w:type="pct"/>
                <w:gridSpan w:val="2"/>
                <w:vMerge w:val="continue"/>
                <w:tcBorders>
                  <w:left w:val="single" w:color="000000" w:sz="8" w:space="0"/>
                  <w:right w:val="single" w:color="000000" w:sz="8" w:space="0"/>
                </w:tcBorders>
                <w:noWrap w:val="0"/>
                <w:vAlign w:val="top"/>
              </w:tcPr>
            </w:tcPrChange>
          </w:tcPr>
          <w:p w14:paraId="38A87387">
            <w:pPr>
              <w:keepNext w:val="0"/>
              <w:keepLines w:val="0"/>
              <w:pageBreakBefore w:val="0"/>
              <w:kinsoku/>
              <w:wordWrap w:val="0"/>
              <w:overflowPunct/>
              <w:topLinePunct w:val="0"/>
              <w:bidi w:val="0"/>
              <w:snapToGrid/>
              <w:spacing w:line="240" w:lineRule="auto"/>
              <w:jc w:val="center"/>
              <w:rPr>
                <w:rFonts w:hint="default" w:ascii="宋体" w:hAnsi="宋体" w:eastAsia="宋体" w:cs="宋体"/>
                <w:sz w:val="22"/>
                <w:szCs w:val="22"/>
                <w:highlight w:val="none"/>
                <w:lang w:val="en-US" w:eastAsia="zh-CN"/>
              </w:rPr>
            </w:pPr>
            <w:r>
              <w:rPr>
                <w:rFonts w:hint="eastAsia" w:ascii="宋体" w:hAnsi="宋体" w:cs="宋体"/>
                <w:sz w:val="22"/>
                <w:szCs w:val="22"/>
                <w:highlight w:val="none"/>
                <w:lang w:val="en-US" w:eastAsia="zh-CN"/>
              </w:rPr>
              <w:t>8</w:t>
            </w:r>
          </w:p>
        </w:tc>
        <w:tc>
          <w:tcPr>
            <w:tcW w:w="1090" w:type="pct"/>
            <w:tcBorders>
              <w:left w:val="single" w:color="000000" w:sz="8" w:space="0"/>
              <w:right w:val="single" w:color="000000" w:sz="8" w:space="0"/>
            </w:tcBorders>
            <w:noWrap w:val="0"/>
            <w:vAlign w:val="top"/>
            <w:tcPrChange w:id="10" w:author="Li" w:date="2025-08-11T09:55:38Z">
              <w:tcPr>
                <w:tcW w:w="1090" w:type="pct"/>
                <w:gridSpan w:val="2"/>
                <w:tcBorders>
                  <w:left w:val="single" w:color="000000" w:sz="8" w:space="0"/>
                  <w:right w:val="single" w:color="000000" w:sz="8" w:space="0"/>
                </w:tcBorders>
                <w:noWrap w:val="0"/>
                <w:vAlign w:val="center"/>
              </w:tcPr>
            </w:tcPrChange>
          </w:tcPr>
          <w:p w14:paraId="06347373">
            <w:pPr>
              <w:keepNext w:val="0"/>
              <w:keepLines w:val="0"/>
              <w:pageBreakBefore w:val="0"/>
              <w:kinsoku/>
              <w:wordWrap w:val="0"/>
              <w:overflowPunct/>
              <w:topLinePunct w:val="0"/>
              <w:bidi w:val="0"/>
              <w:snapToGrid/>
              <w:spacing w:line="240" w:lineRule="auto"/>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拟派项目团队人员情况其他团队成员（不含</w:t>
            </w:r>
            <w:r>
              <w:rPr>
                <w:rFonts w:hint="default" w:ascii="宋体" w:hAnsi="宋体" w:eastAsia="宋体" w:cs="宋体"/>
                <w:sz w:val="22"/>
                <w:szCs w:val="22"/>
                <w:highlight w:val="none"/>
              </w:rPr>
              <w:t>项目负责人、</w:t>
            </w:r>
            <w:r>
              <w:rPr>
                <w:rFonts w:hint="eastAsia" w:ascii="宋体" w:hAnsi="宋体" w:eastAsia="宋体" w:cs="宋体"/>
                <w:sz w:val="22"/>
                <w:szCs w:val="22"/>
                <w:highlight w:val="none"/>
              </w:rPr>
              <w:t>主厨、大厨）</w:t>
            </w:r>
          </w:p>
        </w:tc>
        <w:tc>
          <w:tcPr>
            <w:tcW w:w="477" w:type="pct"/>
            <w:tcBorders>
              <w:top w:val="single" w:color="000000" w:sz="8" w:space="0"/>
              <w:left w:val="single" w:color="000000" w:sz="8" w:space="0"/>
              <w:bottom w:val="single" w:color="000000" w:sz="8" w:space="0"/>
              <w:right w:val="single" w:color="000000" w:sz="8" w:space="0"/>
            </w:tcBorders>
            <w:noWrap w:val="0"/>
            <w:vAlign w:val="top"/>
            <w:tcPrChange w:id="11" w:author="Li" w:date="2025-08-11T09:55:38Z">
              <w:tcPr>
                <w:tcW w:w="478" w:type="pct"/>
                <w:gridSpan w:val="2"/>
                <w:tcBorders>
                  <w:top w:val="single" w:color="000000" w:sz="8" w:space="0"/>
                  <w:left w:val="single" w:color="000000" w:sz="8" w:space="0"/>
                  <w:bottom w:val="single" w:color="000000" w:sz="8" w:space="0"/>
                  <w:right w:val="single" w:color="000000" w:sz="8" w:space="0"/>
                </w:tcBorders>
                <w:noWrap w:val="0"/>
                <w:vAlign w:val="center"/>
              </w:tcPr>
            </w:tcPrChange>
          </w:tcPr>
          <w:p w14:paraId="1A000AB0">
            <w:pPr>
              <w:keepNext w:val="0"/>
              <w:keepLines w:val="0"/>
              <w:pageBreakBefore w:val="0"/>
              <w:kinsoku/>
              <w:wordWrap w:val="0"/>
              <w:overflowPunct/>
              <w:topLinePunct w:val="0"/>
              <w:bidi w:val="0"/>
              <w:snapToGrid/>
              <w:spacing w:line="240" w:lineRule="auto"/>
              <w:jc w:val="center"/>
              <w:rPr>
                <w:rFonts w:hint="default" w:ascii="宋体" w:hAnsi="宋体" w:eastAsia="宋体" w:cs="宋体"/>
                <w:sz w:val="22"/>
                <w:szCs w:val="22"/>
                <w:highlight w:val="none"/>
                <w:lang w:eastAsia="zh-CN"/>
              </w:rPr>
            </w:pPr>
            <w:r>
              <w:rPr>
                <w:rFonts w:hint="default" w:ascii="宋体" w:hAnsi="宋体" w:cs="宋体"/>
                <w:sz w:val="22"/>
                <w:szCs w:val="22"/>
                <w:highlight w:val="none"/>
                <w:lang w:eastAsia="zh-CN"/>
              </w:rPr>
              <w:t>6</w:t>
            </w:r>
          </w:p>
        </w:tc>
        <w:tc>
          <w:tcPr>
            <w:tcW w:w="2683" w:type="pct"/>
            <w:tcBorders>
              <w:top w:val="single" w:color="000000" w:sz="8" w:space="0"/>
              <w:left w:val="single" w:color="000000" w:sz="8" w:space="0"/>
              <w:bottom w:val="single" w:color="000000" w:sz="8" w:space="0"/>
              <w:right w:val="single" w:color="000000" w:sz="8" w:space="0"/>
            </w:tcBorders>
            <w:noWrap w:val="0"/>
            <w:vAlign w:val="top"/>
            <w:tcPrChange w:id="12" w:author="Li" w:date="2025-08-11T09:55:38Z">
              <w:tcPr>
                <w:tcW w:w="2682" w:type="pct"/>
                <w:gridSpan w:val="2"/>
                <w:tcBorders>
                  <w:top w:val="single" w:color="000000" w:sz="8" w:space="0"/>
                  <w:left w:val="single" w:color="000000" w:sz="8" w:space="0"/>
                  <w:bottom w:val="single" w:color="000000" w:sz="8" w:space="0"/>
                  <w:right w:val="single" w:color="000000" w:sz="8" w:space="0"/>
                </w:tcBorders>
                <w:noWrap w:val="0"/>
                <w:vAlign w:val="top"/>
              </w:tcPr>
            </w:tcPrChange>
          </w:tcPr>
          <w:p w14:paraId="11CEBB52">
            <w:pPr>
              <w:jc w:val="both"/>
              <w:rPr>
                <w:rFonts w:hint="eastAsia" w:ascii="宋体" w:hAnsi="宋体" w:eastAsia="宋体"/>
                <w:b/>
                <w:bCs/>
                <w:szCs w:val="21"/>
                <w:highlight w:val="none"/>
              </w:rPr>
            </w:pPr>
            <w:r>
              <w:rPr>
                <w:rFonts w:hint="eastAsia" w:ascii="宋体" w:hAnsi="宋体" w:eastAsia="宋体"/>
                <w:b/>
                <w:bCs/>
                <w:szCs w:val="21"/>
                <w:highlight w:val="none"/>
                <w:lang w:val="en-US" w:eastAsia="zh-CN"/>
              </w:rPr>
              <w:t>（一）</w:t>
            </w:r>
            <w:r>
              <w:rPr>
                <w:rFonts w:hint="eastAsia" w:ascii="宋体" w:hAnsi="宋体" w:eastAsia="宋体"/>
                <w:b/>
                <w:bCs/>
                <w:szCs w:val="21"/>
                <w:highlight w:val="none"/>
              </w:rPr>
              <w:t>评审内容：</w:t>
            </w:r>
          </w:p>
          <w:p w14:paraId="4E0A5A65">
            <w:pPr>
              <w:jc w:val="both"/>
              <w:rPr>
                <w:rFonts w:hint="eastAsia" w:ascii="宋体" w:hAnsi="宋体" w:eastAsia="宋体"/>
                <w:szCs w:val="21"/>
                <w:highlight w:val="none"/>
              </w:rPr>
            </w:pPr>
            <w:r>
              <w:rPr>
                <w:rFonts w:hint="eastAsia" w:ascii="宋体" w:hAnsi="宋体" w:eastAsia="宋体"/>
                <w:szCs w:val="21"/>
                <w:highlight w:val="none"/>
              </w:rPr>
              <w:t>拟投入本项目</w:t>
            </w:r>
            <w:r>
              <w:rPr>
                <w:rFonts w:hint="default" w:ascii="宋体" w:hAnsi="宋体" w:eastAsia="宋体"/>
                <w:szCs w:val="21"/>
                <w:highlight w:val="none"/>
              </w:rPr>
              <w:t>的其他</w:t>
            </w:r>
            <w:r>
              <w:rPr>
                <w:rFonts w:hint="eastAsia" w:ascii="宋体" w:hAnsi="宋体" w:eastAsia="宋体"/>
                <w:szCs w:val="21"/>
                <w:highlight w:val="none"/>
              </w:rPr>
              <w:t>团队成员</w:t>
            </w:r>
            <w:r>
              <w:rPr>
                <w:rFonts w:hint="default" w:ascii="宋体" w:hAnsi="宋体" w:eastAsia="宋体"/>
                <w:szCs w:val="21"/>
                <w:highlight w:val="none"/>
              </w:rPr>
              <w:t>（不含主厨、大厨）</w:t>
            </w:r>
            <w:r>
              <w:rPr>
                <w:rFonts w:hint="eastAsia" w:ascii="宋体" w:hAnsi="宋体" w:eastAsia="宋体"/>
                <w:szCs w:val="21"/>
                <w:highlight w:val="none"/>
              </w:rPr>
              <w:t>：</w:t>
            </w:r>
          </w:p>
          <w:p w14:paraId="745B24D5">
            <w:pPr>
              <w:jc w:val="both"/>
              <w:rPr>
                <w:rFonts w:hint="default" w:ascii="宋体" w:hAnsi="宋体" w:eastAsia="宋体"/>
                <w:szCs w:val="21"/>
                <w:highlight w:val="none"/>
              </w:rPr>
            </w:pPr>
            <w:r>
              <w:rPr>
                <w:rFonts w:hint="default" w:ascii="宋体" w:hAnsi="宋体" w:eastAsia="宋体"/>
                <w:szCs w:val="21"/>
                <w:highlight w:val="none"/>
              </w:rPr>
              <w:t>①</w:t>
            </w:r>
            <w:r>
              <w:rPr>
                <w:rFonts w:hint="eastAsia" w:ascii="宋体" w:hAnsi="宋体" w:eastAsia="宋体"/>
                <w:szCs w:val="21"/>
                <w:highlight w:val="none"/>
              </w:rPr>
              <w:t>具有</w:t>
            </w:r>
            <w:r>
              <w:rPr>
                <w:rFonts w:hint="eastAsia" w:ascii="宋体" w:hAnsi="宋体" w:eastAsia="宋体"/>
                <w:szCs w:val="21"/>
                <w:highlight w:val="yellow"/>
              </w:rPr>
              <w:t>人社部(或人社部备案的评价机构)颁发的</w:t>
            </w:r>
            <w:r>
              <w:rPr>
                <w:rFonts w:hint="eastAsia" w:ascii="宋体" w:hAnsi="宋体" w:eastAsia="宋体"/>
                <w:szCs w:val="21"/>
                <w:highlight w:val="none"/>
              </w:rPr>
              <w:t>中式面点师三级或以上</w:t>
            </w:r>
            <w:r>
              <w:rPr>
                <w:rFonts w:hint="eastAsia" w:ascii="宋体" w:hAnsi="宋体" w:eastAsia="宋体"/>
                <w:szCs w:val="21"/>
                <w:highlight w:val="none"/>
                <w:lang w:val="en-US" w:eastAsia="zh-CN"/>
              </w:rPr>
              <w:t>证书</w:t>
            </w:r>
            <w:r>
              <w:rPr>
                <w:rFonts w:hint="eastAsia" w:ascii="宋体" w:hAnsi="宋体" w:eastAsia="宋体"/>
                <w:szCs w:val="21"/>
                <w:highlight w:val="none"/>
              </w:rPr>
              <w:t>，每一人得</w:t>
            </w:r>
            <w:r>
              <w:rPr>
                <w:rFonts w:hint="eastAsia" w:ascii="宋体" w:hAnsi="宋体"/>
                <w:szCs w:val="21"/>
                <w:highlight w:val="none"/>
                <w:lang w:val="en-US" w:eastAsia="zh-CN"/>
              </w:rPr>
              <w:t>0.5</w:t>
            </w:r>
            <w:r>
              <w:rPr>
                <w:rFonts w:hint="eastAsia" w:ascii="宋体" w:hAnsi="宋体" w:eastAsia="宋体"/>
                <w:szCs w:val="21"/>
                <w:highlight w:val="none"/>
                <w:lang w:val="en-US" w:eastAsia="zh-CN"/>
              </w:rPr>
              <w:t>分</w:t>
            </w:r>
            <w:r>
              <w:rPr>
                <w:rFonts w:hint="eastAsia" w:ascii="宋体" w:hAnsi="宋体" w:eastAsia="宋体"/>
                <w:szCs w:val="21"/>
                <w:highlight w:val="none"/>
              </w:rPr>
              <w:t>，最高得</w:t>
            </w:r>
            <w:r>
              <w:rPr>
                <w:rFonts w:hint="default" w:ascii="宋体" w:hAnsi="宋体" w:eastAsia="宋体"/>
                <w:szCs w:val="21"/>
                <w:highlight w:val="none"/>
                <w:lang w:eastAsia="zh-CN"/>
              </w:rPr>
              <w:t>1</w:t>
            </w:r>
            <w:r>
              <w:rPr>
                <w:rFonts w:hint="eastAsia" w:ascii="宋体" w:hAnsi="宋体" w:eastAsia="宋体"/>
                <w:szCs w:val="21"/>
                <w:highlight w:val="none"/>
                <w:lang w:val="en-US" w:eastAsia="zh-CN"/>
              </w:rPr>
              <w:t>分</w:t>
            </w:r>
            <w:r>
              <w:rPr>
                <w:rFonts w:hint="default" w:ascii="宋体" w:hAnsi="宋体" w:eastAsia="宋体"/>
                <w:szCs w:val="21"/>
                <w:highlight w:val="none"/>
              </w:rPr>
              <w:t>；</w:t>
            </w:r>
          </w:p>
          <w:p w14:paraId="5856746F">
            <w:pPr>
              <w:jc w:val="both"/>
              <w:rPr>
                <w:rFonts w:hint="default" w:ascii="宋体" w:hAnsi="宋体" w:eastAsia="宋体"/>
                <w:szCs w:val="21"/>
                <w:highlight w:val="none"/>
              </w:rPr>
            </w:pPr>
            <w:r>
              <w:rPr>
                <w:rFonts w:hint="default" w:ascii="宋体" w:hAnsi="宋体" w:eastAsia="宋体"/>
                <w:szCs w:val="21"/>
                <w:highlight w:val="none"/>
              </w:rPr>
              <w:t>②</w:t>
            </w:r>
            <w:r>
              <w:rPr>
                <w:rFonts w:hint="eastAsia" w:ascii="宋体" w:hAnsi="宋体" w:eastAsia="宋体"/>
                <w:szCs w:val="21"/>
                <w:highlight w:val="none"/>
              </w:rPr>
              <w:t>具有</w:t>
            </w:r>
            <w:r>
              <w:rPr>
                <w:rFonts w:hint="eastAsia" w:ascii="宋体" w:hAnsi="宋体" w:eastAsia="宋体"/>
                <w:szCs w:val="21"/>
                <w:highlight w:val="yellow"/>
              </w:rPr>
              <w:t>人社部(或人社部备案的评价机构)颁发的</w:t>
            </w:r>
            <w:r>
              <w:rPr>
                <w:rFonts w:hint="eastAsia" w:ascii="宋体" w:hAnsi="宋体" w:eastAsia="宋体"/>
                <w:szCs w:val="21"/>
                <w:highlight w:val="none"/>
              </w:rPr>
              <w:t>西式面点师三级或以上证书的，每一人得</w:t>
            </w:r>
            <w:r>
              <w:rPr>
                <w:rFonts w:hint="eastAsia" w:ascii="宋体" w:hAnsi="宋体"/>
                <w:szCs w:val="21"/>
                <w:highlight w:val="none"/>
                <w:lang w:val="en-US" w:eastAsia="zh-CN"/>
              </w:rPr>
              <w:t>0.5</w:t>
            </w:r>
            <w:r>
              <w:rPr>
                <w:rFonts w:hint="eastAsia" w:ascii="宋体" w:hAnsi="宋体" w:eastAsia="宋体"/>
                <w:szCs w:val="21"/>
                <w:highlight w:val="none"/>
              </w:rPr>
              <w:t>分，最高得</w:t>
            </w:r>
            <w:r>
              <w:rPr>
                <w:rFonts w:hint="default" w:ascii="宋体" w:hAnsi="宋体" w:eastAsia="宋体"/>
                <w:szCs w:val="21"/>
                <w:highlight w:val="none"/>
              </w:rPr>
              <w:t>1</w:t>
            </w:r>
            <w:r>
              <w:rPr>
                <w:rFonts w:hint="eastAsia" w:ascii="宋体" w:hAnsi="宋体" w:eastAsia="宋体"/>
                <w:szCs w:val="21"/>
                <w:highlight w:val="none"/>
              </w:rPr>
              <w:t>分</w:t>
            </w:r>
            <w:r>
              <w:rPr>
                <w:rFonts w:hint="default" w:ascii="宋体" w:hAnsi="宋体" w:eastAsia="宋体"/>
                <w:szCs w:val="21"/>
                <w:highlight w:val="none"/>
              </w:rPr>
              <w:t>；</w:t>
            </w:r>
          </w:p>
          <w:p w14:paraId="2CF205BA">
            <w:pPr>
              <w:jc w:val="both"/>
              <w:rPr>
                <w:rFonts w:hint="default" w:ascii="宋体" w:hAnsi="宋体" w:eastAsia="宋体"/>
                <w:szCs w:val="21"/>
                <w:highlight w:val="none"/>
              </w:rPr>
            </w:pPr>
            <w:r>
              <w:rPr>
                <w:rFonts w:hint="default" w:ascii="宋体" w:hAnsi="宋体" w:eastAsia="宋体"/>
                <w:szCs w:val="21"/>
                <w:highlight w:val="none"/>
              </w:rPr>
              <w:t>③</w:t>
            </w:r>
            <w:r>
              <w:rPr>
                <w:rFonts w:hint="eastAsia" w:ascii="宋体" w:hAnsi="宋体" w:eastAsia="宋体"/>
                <w:szCs w:val="21"/>
                <w:highlight w:val="none"/>
              </w:rPr>
              <w:t>具有</w:t>
            </w:r>
            <w:r>
              <w:rPr>
                <w:rFonts w:hint="eastAsia" w:ascii="宋体" w:hAnsi="宋体" w:eastAsia="宋体"/>
                <w:szCs w:val="21"/>
                <w:highlight w:val="yellow"/>
              </w:rPr>
              <w:t>人社部(或人社部备案的评价机构)颁发的</w:t>
            </w:r>
            <w:r>
              <w:rPr>
                <w:rFonts w:hint="eastAsia" w:ascii="宋体" w:hAnsi="宋体" w:eastAsia="宋体"/>
                <w:szCs w:val="21"/>
                <w:highlight w:val="none"/>
              </w:rPr>
              <w:t>公共营养师</w:t>
            </w:r>
            <w:r>
              <w:rPr>
                <w:rFonts w:hint="eastAsia" w:ascii="宋体" w:hAnsi="宋体" w:eastAsia="宋体"/>
                <w:szCs w:val="21"/>
                <w:highlight w:val="none"/>
                <w:lang w:eastAsia="zh-CN"/>
              </w:rPr>
              <w:t>三</w:t>
            </w:r>
            <w:r>
              <w:rPr>
                <w:rFonts w:hint="eastAsia" w:ascii="宋体" w:hAnsi="宋体" w:eastAsia="宋体"/>
                <w:szCs w:val="21"/>
                <w:highlight w:val="none"/>
              </w:rPr>
              <w:t>级或以上证书</w:t>
            </w:r>
            <w:r>
              <w:rPr>
                <w:rFonts w:hint="eastAsia" w:ascii="宋体" w:hAnsi="宋体" w:eastAsia="宋体"/>
                <w:szCs w:val="21"/>
                <w:highlight w:val="none"/>
                <w:lang w:eastAsia="zh-CN"/>
              </w:rPr>
              <w:t>的，每一人得</w:t>
            </w:r>
            <w:r>
              <w:rPr>
                <w:rFonts w:hint="default" w:ascii="宋体" w:hAnsi="宋体" w:eastAsia="宋体"/>
                <w:szCs w:val="21"/>
                <w:highlight w:val="none"/>
                <w:lang w:eastAsia="zh-CN"/>
              </w:rPr>
              <w:t>0.5</w:t>
            </w:r>
            <w:r>
              <w:rPr>
                <w:rFonts w:hint="eastAsia" w:ascii="宋体" w:hAnsi="宋体" w:eastAsia="宋体"/>
                <w:szCs w:val="21"/>
                <w:highlight w:val="none"/>
                <w:lang w:val="en-US" w:eastAsia="zh-CN"/>
              </w:rPr>
              <w:t>分，最高得</w:t>
            </w:r>
            <w:r>
              <w:rPr>
                <w:rFonts w:hint="default" w:ascii="宋体" w:hAnsi="宋体" w:eastAsia="宋体"/>
                <w:szCs w:val="21"/>
                <w:highlight w:val="none"/>
                <w:lang w:eastAsia="zh-CN"/>
              </w:rPr>
              <w:t>1</w:t>
            </w:r>
            <w:r>
              <w:rPr>
                <w:rFonts w:hint="eastAsia" w:ascii="宋体" w:hAnsi="宋体" w:eastAsia="宋体"/>
                <w:szCs w:val="21"/>
                <w:highlight w:val="none"/>
                <w:lang w:val="en-US" w:eastAsia="zh-CN"/>
              </w:rPr>
              <w:t>分</w:t>
            </w:r>
            <w:r>
              <w:rPr>
                <w:rFonts w:hint="default" w:ascii="宋体" w:hAnsi="宋体" w:eastAsia="宋体"/>
                <w:szCs w:val="21"/>
                <w:highlight w:val="none"/>
              </w:rPr>
              <w:t>；</w:t>
            </w:r>
          </w:p>
          <w:p w14:paraId="5C8DEBA1">
            <w:pPr>
              <w:jc w:val="both"/>
              <w:rPr>
                <w:rFonts w:hint="default" w:ascii="宋体" w:hAnsi="宋体" w:eastAsia="宋体"/>
                <w:szCs w:val="21"/>
                <w:highlight w:val="none"/>
                <w:lang w:eastAsia="zh-CN"/>
              </w:rPr>
            </w:pPr>
            <w:r>
              <w:rPr>
                <w:rFonts w:hint="default" w:ascii="宋体" w:hAnsi="宋体" w:eastAsia="宋体"/>
                <w:szCs w:val="21"/>
                <w:highlight w:val="none"/>
              </w:rPr>
              <w:t>④</w:t>
            </w:r>
            <w:r>
              <w:rPr>
                <w:rFonts w:hint="eastAsia" w:ascii="宋体" w:hAnsi="宋体" w:eastAsia="宋体"/>
                <w:szCs w:val="21"/>
                <w:highlight w:val="none"/>
              </w:rPr>
              <w:t>具有</w:t>
            </w:r>
            <w:r>
              <w:rPr>
                <w:rFonts w:hint="eastAsia" w:ascii="宋体" w:hAnsi="宋体" w:eastAsia="宋体"/>
                <w:szCs w:val="21"/>
                <w:highlight w:val="yellow"/>
              </w:rPr>
              <w:t>人社部(或人社部备案的评价机构)颁发的</w:t>
            </w:r>
            <w:r>
              <w:rPr>
                <w:rFonts w:hint="eastAsia" w:ascii="宋体" w:hAnsi="宋体" w:eastAsia="宋体"/>
                <w:szCs w:val="21"/>
                <w:highlight w:val="none"/>
              </w:rPr>
              <w:t>餐厅服务员三级或以上</w:t>
            </w:r>
            <w:r>
              <w:rPr>
                <w:rFonts w:hint="eastAsia" w:ascii="宋体" w:hAnsi="宋体" w:eastAsia="宋体"/>
                <w:szCs w:val="21"/>
                <w:highlight w:val="none"/>
                <w:lang w:val="en-US" w:eastAsia="zh-CN"/>
              </w:rPr>
              <w:t>证书</w:t>
            </w:r>
            <w:r>
              <w:rPr>
                <w:rFonts w:hint="eastAsia" w:ascii="宋体" w:hAnsi="宋体" w:eastAsia="宋体"/>
                <w:szCs w:val="21"/>
                <w:highlight w:val="none"/>
              </w:rPr>
              <w:t>的，每一人得</w:t>
            </w:r>
            <w:r>
              <w:rPr>
                <w:rFonts w:hint="default" w:ascii="宋体" w:hAnsi="宋体" w:eastAsia="宋体"/>
                <w:szCs w:val="21"/>
                <w:highlight w:val="none"/>
              </w:rPr>
              <w:t>0.5</w:t>
            </w:r>
            <w:r>
              <w:rPr>
                <w:rFonts w:hint="eastAsia" w:ascii="宋体" w:hAnsi="宋体" w:eastAsia="宋体"/>
                <w:szCs w:val="21"/>
                <w:highlight w:val="none"/>
              </w:rPr>
              <w:t>分，最高得</w:t>
            </w:r>
            <w:r>
              <w:rPr>
                <w:rFonts w:hint="default" w:ascii="宋体" w:hAnsi="宋体" w:eastAsia="宋体"/>
                <w:szCs w:val="21"/>
                <w:highlight w:val="none"/>
                <w:lang w:eastAsia="zh-CN"/>
              </w:rPr>
              <w:t>1</w:t>
            </w:r>
            <w:r>
              <w:rPr>
                <w:rFonts w:hint="eastAsia" w:ascii="宋体" w:hAnsi="宋体" w:eastAsia="宋体"/>
                <w:szCs w:val="21"/>
                <w:highlight w:val="none"/>
                <w:lang w:val="en-US" w:eastAsia="zh-CN"/>
              </w:rPr>
              <w:t>分</w:t>
            </w:r>
            <w:r>
              <w:rPr>
                <w:rFonts w:hint="default" w:ascii="宋体" w:hAnsi="宋体" w:eastAsia="宋体"/>
                <w:szCs w:val="21"/>
                <w:highlight w:val="none"/>
                <w:lang w:eastAsia="zh-CN"/>
              </w:rPr>
              <w:t>；</w:t>
            </w:r>
          </w:p>
          <w:p w14:paraId="1B87786E">
            <w:pPr>
              <w:jc w:val="both"/>
              <w:rPr>
                <w:rFonts w:hint="default" w:ascii="宋体" w:hAnsi="宋体" w:eastAsia="宋体"/>
                <w:szCs w:val="21"/>
                <w:highlight w:val="none"/>
              </w:rPr>
            </w:pPr>
            <w:r>
              <w:rPr>
                <w:rFonts w:hint="default" w:ascii="宋体" w:hAnsi="宋体" w:eastAsia="宋体"/>
                <w:szCs w:val="21"/>
                <w:highlight w:val="none"/>
                <w:lang w:eastAsia="zh-CN"/>
              </w:rPr>
              <w:t>⑤具有2年以上餐饮工作经验，每一人得1分，最高得2分</w:t>
            </w:r>
          </w:p>
          <w:p w14:paraId="454FB098">
            <w:pPr>
              <w:jc w:val="both"/>
              <w:rPr>
                <w:rFonts w:hint="eastAsia" w:ascii="宋体" w:hAnsi="宋体" w:eastAsia="宋体"/>
                <w:szCs w:val="21"/>
                <w:highlight w:val="none"/>
              </w:rPr>
            </w:pPr>
            <w:r>
              <w:rPr>
                <w:rFonts w:hint="eastAsia" w:ascii="宋体" w:hAnsi="宋体" w:eastAsia="宋体"/>
                <w:szCs w:val="21"/>
                <w:highlight w:val="none"/>
              </w:rPr>
              <w:t>第</w:t>
            </w:r>
            <w:r>
              <w:rPr>
                <w:rFonts w:hint="default" w:ascii="宋体" w:hAnsi="宋体" w:eastAsia="宋体"/>
                <w:szCs w:val="21"/>
                <w:highlight w:val="none"/>
              </w:rPr>
              <w:t>①</w:t>
            </w:r>
            <w:r>
              <w:rPr>
                <w:rFonts w:hint="eastAsia" w:ascii="宋体" w:hAnsi="宋体" w:eastAsia="宋体"/>
                <w:szCs w:val="21"/>
                <w:highlight w:val="none"/>
              </w:rPr>
              <w:t>-</w:t>
            </w:r>
            <w:r>
              <w:rPr>
                <w:rFonts w:hint="default" w:ascii="宋体" w:hAnsi="宋体" w:eastAsia="宋体"/>
                <w:szCs w:val="21"/>
                <w:highlight w:val="none"/>
              </w:rPr>
              <w:t>④</w:t>
            </w:r>
            <w:r>
              <w:rPr>
                <w:rFonts w:hint="eastAsia" w:ascii="宋体" w:hAnsi="宋体" w:eastAsia="宋体"/>
                <w:szCs w:val="21"/>
                <w:highlight w:val="none"/>
              </w:rPr>
              <w:t>项中的同一人</w:t>
            </w:r>
            <w:r>
              <w:rPr>
                <w:rFonts w:hint="default" w:ascii="宋体" w:hAnsi="宋体"/>
                <w:szCs w:val="21"/>
                <w:highlight w:val="none"/>
              </w:rPr>
              <w:t>最高得分不超过1.5分</w:t>
            </w:r>
            <w:r>
              <w:rPr>
                <w:rFonts w:hint="default" w:ascii="宋体" w:hAnsi="宋体" w:eastAsia="宋体"/>
                <w:szCs w:val="21"/>
                <w:highlight w:val="none"/>
              </w:rPr>
              <w:t>，本项</w:t>
            </w:r>
            <w:r>
              <w:rPr>
                <w:rFonts w:hint="eastAsia" w:ascii="宋体" w:hAnsi="宋体" w:eastAsia="宋体"/>
                <w:szCs w:val="21"/>
                <w:highlight w:val="none"/>
              </w:rPr>
              <w:t>最高得</w:t>
            </w:r>
            <w:r>
              <w:rPr>
                <w:rFonts w:hint="default" w:ascii="宋体" w:hAnsi="宋体" w:eastAsia="宋体"/>
                <w:szCs w:val="21"/>
                <w:highlight w:val="none"/>
              </w:rPr>
              <w:t>6</w:t>
            </w:r>
            <w:r>
              <w:rPr>
                <w:rFonts w:hint="eastAsia" w:ascii="宋体" w:hAnsi="宋体" w:eastAsia="宋体"/>
                <w:szCs w:val="21"/>
                <w:highlight w:val="none"/>
              </w:rPr>
              <w:t>分。</w:t>
            </w:r>
          </w:p>
          <w:p w14:paraId="38349DB0">
            <w:pPr>
              <w:jc w:val="both"/>
              <w:rPr>
                <w:rFonts w:hint="eastAsia" w:ascii="宋体" w:hAnsi="宋体" w:eastAsia="宋体"/>
                <w:b/>
                <w:bCs/>
                <w:szCs w:val="21"/>
                <w:highlight w:val="none"/>
              </w:rPr>
            </w:pPr>
            <w:r>
              <w:rPr>
                <w:rFonts w:hint="eastAsia" w:ascii="宋体" w:hAnsi="宋体"/>
                <w:b/>
                <w:bCs/>
                <w:szCs w:val="21"/>
                <w:highlight w:val="none"/>
                <w:lang w:eastAsia="zh-CN"/>
              </w:rPr>
              <w:t>（二）</w:t>
            </w:r>
            <w:r>
              <w:rPr>
                <w:rFonts w:hint="eastAsia" w:ascii="宋体" w:hAnsi="宋体" w:eastAsia="宋体"/>
                <w:b/>
                <w:bCs/>
                <w:szCs w:val="21"/>
                <w:highlight w:val="none"/>
              </w:rPr>
              <w:t>评审依据：</w:t>
            </w:r>
          </w:p>
          <w:p w14:paraId="208C9E9F">
            <w:pPr>
              <w:jc w:val="both"/>
              <w:rPr>
                <w:rFonts w:hint="eastAsia" w:ascii="宋体" w:hAnsi="宋体" w:eastAsia="宋体"/>
                <w:szCs w:val="21"/>
                <w:highlight w:val="none"/>
              </w:rPr>
            </w:pPr>
            <w:r>
              <w:rPr>
                <w:rFonts w:hint="eastAsia" w:ascii="宋体" w:hAnsi="宋体" w:eastAsia="宋体"/>
                <w:szCs w:val="21"/>
                <w:highlight w:val="none"/>
              </w:rPr>
              <w:t>①提供投标人为拟派人员缴纳的近3个月社保证明扫描件（以养老保险为准，如截标日上1个月的社保材料因社保部门原因暂时无法取得，则可以往前顺延1个月）；投标人若为新成立</w:t>
            </w:r>
            <w:r>
              <w:rPr>
                <w:rFonts w:hint="eastAsia" w:ascii="宋体" w:hAnsi="宋体"/>
                <w:szCs w:val="21"/>
                <w:highlight w:val="none"/>
                <w:lang w:eastAsia="zh-CN"/>
              </w:rPr>
              <w:t>的企业：</w:t>
            </w:r>
            <w:r>
              <w:rPr>
                <w:rFonts w:hint="eastAsia" w:ascii="宋体" w:hAnsi="宋体" w:eastAsia="宋体"/>
                <w:szCs w:val="21"/>
                <w:highlight w:val="none"/>
              </w:rPr>
              <w:t>成立时间不足3个月的</w:t>
            </w:r>
            <w:r>
              <w:rPr>
                <w:rFonts w:hint="eastAsia" w:ascii="宋体" w:hAnsi="宋体"/>
                <w:szCs w:val="21"/>
                <w:highlight w:val="none"/>
                <w:lang w:eastAsia="zh-CN"/>
              </w:rPr>
              <w:t>，</w:t>
            </w:r>
            <w:r>
              <w:rPr>
                <w:rFonts w:hint="eastAsia" w:ascii="宋体" w:hAnsi="宋体" w:eastAsia="宋体"/>
                <w:szCs w:val="21"/>
                <w:highlight w:val="none"/>
              </w:rPr>
              <w:t>按成立时限提供；成立时间不足1个月的</w:t>
            </w:r>
            <w:r>
              <w:rPr>
                <w:rFonts w:hint="eastAsia" w:ascii="宋体" w:hAnsi="宋体"/>
                <w:szCs w:val="21"/>
                <w:highlight w:val="none"/>
                <w:lang w:eastAsia="zh-CN"/>
              </w:rPr>
              <w:t>，</w:t>
            </w:r>
            <w:r>
              <w:rPr>
                <w:rFonts w:hint="eastAsia" w:ascii="宋体" w:hAnsi="宋体" w:eastAsia="宋体"/>
                <w:szCs w:val="21"/>
                <w:highlight w:val="none"/>
              </w:rPr>
              <w:t>提供承诺函承诺为投标人自有员工</w:t>
            </w:r>
            <w:r>
              <w:rPr>
                <w:rFonts w:hint="eastAsia" w:ascii="宋体" w:hAnsi="宋体"/>
                <w:szCs w:val="21"/>
                <w:highlight w:val="none"/>
                <w:lang w:eastAsia="zh-CN"/>
              </w:rPr>
              <w:t>。</w:t>
            </w:r>
          </w:p>
          <w:p w14:paraId="75BF6495">
            <w:pPr>
              <w:jc w:val="both"/>
              <w:rPr>
                <w:rFonts w:hint="eastAsia"/>
                <w:lang w:eastAsia="zh-CN"/>
              </w:rPr>
            </w:pPr>
            <w:r>
              <w:rPr>
                <w:rFonts w:hint="default" w:ascii="宋体" w:hAnsi="宋体"/>
                <w:szCs w:val="21"/>
                <w:highlight w:val="none"/>
              </w:rPr>
              <w:t>②</w:t>
            </w:r>
            <w:r>
              <w:rPr>
                <w:rFonts w:hint="eastAsia" w:ascii="宋体" w:hAnsi="宋体"/>
                <w:szCs w:val="21"/>
                <w:highlight w:val="none"/>
                <w:lang w:eastAsia="zh-CN"/>
              </w:rPr>
              <w:t>提供</w:t>
            </w:r>
            <w:r>
              <w:rPr>
                <w:rFonts w:hint="eastAsia" w:ascii="宋体" w:hAnsi="宋体" w:eastAsia="宋体"/>
                <w:szCs w:val="21"/>
                <w:highlight w:val="none"/>
              </w:rPr>
              <w:t>相关证书扫描件和“技能人才评价证书全国联网查询（http://zscx.osta.org.cn/）”查询截图</w:t>
            </w:r>
            <w:r>
              <w:rPr>
                <w:rFonts w:hint="eastAsia" w:ascii="宋体" w:hAnsi="宋体"/>
                <w:szCs w:val="21"/>
                <w:highlight w:val="none"/>
                <w:lang w:eastAsia="zh-CN"/>
              </w:rPr>
              <w:t>。</w:t>
            </w:r>
          </w:p>
          <w:p w14:paraId="477AC59F">
            <w:pPr>
              <w:jc w:val="both"/>
              <w:rPr>
                <w:rFonts w:hint="eastAsia" w:ascii="宋体" w:hAnsi="宋体" w:eastAsia="宋体"/>
                <w:szCs w:val="21"/>
                <w:highlight w:val="none"/>
                <w:lang w:eastAsia="zh-CN"/>
              </w:rPr>
            </w:pPr>
            <w:r>
              <w:rPr>
                <w:rFonts w:hint="default" w:ascii="宋体" w:hAnsi="宋体"/>
                <w:szCs w:val="21"/>
                <w:highlight w:val="none"/>
              </w:rPr>
              <w:t>③</w:t>
            </w:r>
            <w:r>
              <w:rPr>
                <w:rFonts w:hint="eastAsia" w:ascii="宋体" w:hAnsi="宋体" w:eastAsia="宋体"/>
                <w:szCs w:val="21"/>
                <w:highlight w:val="none"/>
              </w:rPr>
              <w:t>相关经验可提供多家所服务餐饮服务企业为其缴纳社保的参保证明或多家公司不同时间段的工作经验证明，证明材料将累计社保缴纳时间或累计工作经验证明工作时间</w:t>
            </w:r>
            <w:r>
              <w:rPr>
                <w:rFonts w:hint="eastAsia" w:ascii="宋体" w:hAnsi="宋体"/>
                <w:szCs w:val="21"/>
                <w:highlight w:val="none"/>
                <w:lang w:eastAsia="zh-CN"/>
              </w:rPr>
              <w:t>。</w:t>
            </w:r>
          </w:p>
          <w:p w14:paraId="3502590A">
            <w:pPr>
              <w:jc w:val="both"/>
              <w:rPr>
                <w:rFonts w:hint="eastAsia" w:ascii="宋体" w:hAnsi="宋体" w:eastAsia="宋体" w:cs="Times New Roman"/>
                <w:kern w:val="2"/>
                <w:sz w:val="21"/>
                <w:szCs w:val="21"/>
                <w:highlight w:val="none"/>
                <w:lang w:val="en-US" w:eastAsia="zh-CN" w:bidi="ar-SA"/>
              </w:rPr>
            </w:pPr>
            <w:r>
              <w:rPr>
                <w:rFonts w:hint="default" w:ascii="宋体" w:hAnsi="宋体"/>
                <w:szCs w:val="21"/>
                <w:highlight w:val="none"/>
              </w:rPr>
              <w:t>④</w:t>
            </w:r>
            <w:r>
              <w:rPr>
                <w:rFonts w:hint="eastAsia" w:ascii="宋体" w:hAnsi="宋体" w:eastAsia="宋体"/>
                <w:szCs w:val="21"/>
                <w:highlight w:val="none"/>
              </w:rPr>
              <w:t>未按要求提供或提供不清晰导致专家无法判断的不得分，原件备查。</w:t>
            </w:r>
          </w:p>
        </w:tc>
      </w:tr>
      <w:tr w14:paraId="544BF30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Change w:id="13" w:author="Li" w:date="2025-08-11T09:55:38Z">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blPrExChange>
        </w:tblPrEx>
        <w:trPr>
          <w:wAfter w:w="0" w:type="auto"/>
          <w:trHeight w:val="0" w:hRule="atLeast"/>
          <w:jc w:val="center"/>
          <w:trPrChange w:id="13" w:author="Li" w:date="2025-08-11T09:55:38Z">
            <w:trPr>
              <w:gridAfter w:val="1"/>
              <w:wAfter w:w="2" w:type="dxa"/>
              <w:trHeight w:val="0" w:hRule="atLeast"/>
              <w:jc w:val="center"/>
            </w:trPr>
          </w:trPrChange>
        </w:trPr>
        <w:tc>
          <w:tcPr>
            <w:tcW w:w="374" w:type="pct"/>
            <w:vMerge w:val="continue"/>
            <w:tcBorders>
              <w:top w:val="single" w:color="000000" w:sz="8" w:space="0"/>
              <w:left w:val="single" w:color="000000" w:sz="8" w:space="0"/>
              <w:bottom w:val="single" w:color="000000" w:sz="8" w:space="0"/>
              <w:right w:val="single" w:color="000000" w:sz="8" w:space="0"/>
            </w:tcBorders>
            <w:noWrap w:val="0"/>
            <w:vAlign w:val="center"/>
            <w:tcPrChange w:id="14" w:author="Li" w:date="2025-08-11T09:55:38Z">
              <w:tcPr>
                <w:tcW w:w="374" w:type="pct"/>
                <w:gridSpan w:val="2"/>
                <w:vMerge w:val="continue"/>
                <w:tcBorders>
                  <w:top w:val="single" w:color="000000" w:sz="8" w:space="0"/>
                  <w:left w:val="single" w:color="000000" w:sz="8" w:space="0"/>
                  <w:bottom w:val="single" w:color="000000" w:sz="8" w:space="0"/>
                  <w:right w:val="single" w:color="000000" w:sz="8" w:space="0"/>
                </w:tcBorders>
                <w:noWrap w:val="0"/>
                <w:vAlign w:val="center"/>
              </w:tcPr>
            </w:tcPrChange>
          </w:tcPr>
          <w:p w14:paraId="4016ABE1">
            <w:pPr>
              <w:keepNext w:val="0"/>
              <w:keepLines w:val="0"/>
              <w:pageBreakBefore w:val="0"/>
              <w:kinsoku/>
              <w:overflowPunct/>
              <w:topLinePunct w:val="0"/>
              <w:bidi w:val="0"/>
              <w:spacing w:line="240" w:lineRule="auto"/>
              <w:rPr>
                <w:rFonts w:hint="eastAsia" w:ascii="宋体" w:hAnsi="宋体" w:eastAsia="宋体" w:cs="宋体"/>
                <w:b/>
                <w:bCs/>
                <w:color w:val="0000FF"/>
                <w:sz w:val="22"/>
                <w:szCs w:val="22"/>
                <w:highlight w:val="none"/>
              </w:rPr>
            </w:pPr>
          </w:p>
        </w:tc>
        <w:tc>
          <w:tcPr>
            <w:tcW w:w="374" w:type="pct"/>
            <w:tcBorders>
              <w:top w:val="single" w:color="000000" w:sz="8" w:space="0"/>
              <w:left w:val="single" w:color="000000" w:sz="8" w:space="0"/>
              <w:bottom w:val="single" w:color="000000" w:sz="8" w:space="0"/>
              <w:right w:val="single" w:color="000000" w:sz="8" w:space="0"/>
            </w:tcBorders>
            <w:noWrap w:val="0"/>
            <w:vAlign w:val="top"/>
            <w:tcPrChange w:id="15" w:author="Li" w:date="2025-08-11T09:55:38Z">
              <w:tcPr>
                <w:tcW w:w="374" w:type="pct"/>
                <w:gridSpan w:val="2"/>
                <w:tcBorders>
                  <w:top w:val="single" w:color="000000" w:sz="8" w:space="0"/>
                  <w:left w:val="single" w:color="000000" w:sz="8" w:space="0"/>
                  <w:bottom w:val="single" w:color="000000" w:sz="8" w:space="0"/>
                  <w:right w:val="single" w:color="000000" w:sz="8" w:space="0"/>
                </w:tcBorders>
                <w:noWrap w:val="0"/>
                <w:vAlign w:val="top"/>
              </w:tcPr>
            </w:tcPrChange>
          </w:tcPr>
          <w:p w14:paraId="49DEB738">
            <w:pPr>
              <w:keepNext w:val="0"/>
              <w:keepLines w:val="0"/>
              <w:pageBreakBefore w:val="0"/>
              <w:kinsoku/>
              <w:wordWrap w:val="0"/>
              <w:overflowPunct/>
              <w:topLinePunct w:val="0"/>
              <w:bidi w:val="0"/>
              <w:snapToGrid/>
              <w:spacing w:line="240" w:lineRule="auto"/>
              <w:jc w:val="center"/>
              <w:rPr>
                <w:rFonts w:hint="eastAsia" w:ascii="宋体" w:hAnsi="宋体" w:eastAsia="宋体" w:cs="宋体"/>
                <w:color w:val="auto"/>
                <w:sz w:val="22"/>
                <w:szCs w:val="22"/>
                <w:highlight w:val="none"/>
                <w:lang w:val="en-US" w:eastAsia="zh-CN"/>
              </w:rPr>
            </w:pPr>
            <w:r>
              <w:rPr>
                <w:rFonts w:hint="eastAsia" w:ascii="宋体" w:hAnsi="宋体" w:cs="宋体"/>
                <w:sz w:val="22"/>
                <w:szCs w:val="22"/>
                <w:highlight w:val="none"/>
                <w:lang w:val="en-US" w:eastAsia="zh-CN"/>
              </w:rPr>
              <w:t>9</w:t>
            </w:r>
          </w:p>
        </w:tc>
        <w:tc>
          <w:tcPr>
            <w:tcW w:w="1090" w:type="pct"/>
            <w:tcBorders>
              <w:top w:val="single" w:color="000000" w:sz="8" w:space="0"/>
              <w:left w:val="single" w:color="000000" w:sz="8" w:space="0"/>
              <w:bottom w:val="single" w:color="000000" w:sz="8" w:space="0"/>
              <w:right w:val="single" w:color="000000" w:sz="8" w:space="0"/>
            </w:tcBorders>
            <w:noWrap w:val="0"/>
            <w:vAlign w:val="top"/>
            <w:tcPrChange w:id="16" w:author="Li" w:date="2025-08-11T09:55:38Z">
              <w:tcPr>
                <w:tcW w:w="1090" w:type="pct"/>
                <w:gridSpan w:val="2"/>
                <w:tcBorders>
                  <w:top w:val="single" w:color="000000" w:sz="8" w:space="0"/>
                  <w:left w:val="single" w:color="000000" w:sz="8" w:space="0"/>
                  <w:bottom w:val="single" w:color="000000" w:sz="8" w:space="0"/>
                  <w:right w:val="single" w:color="000000" w:sz="8" w:space="0"/>
                </w:tcBorders>
                <w:noWrap w:val="0"/>
                <w:vAlign w:val="top"/>
              </w:tcPr>
            </w:tcPrChange>
          </w:tcPr>
          <w:p w14:paraId="7BB3CE4D">
            <w:pPr>
              <w:keepNext w:val="0"/>
              <w:keepLines w:val="0"/>
              <w:pageBreakBefore w:val="0"/>
              <w:kinsoku/>
              <w:wordWrap w:val="0"/>
              <w:overflowPunct/>
              <w:topLinePunct w:val="0"/>
              <w:bidi w:val="0"/>
              <w:snapToGrid/>
              <w:spacing w:line="240" w:lineRule="auto"/>
              <w:jc w:val="center"/>
              <w:rPr>
                <w:rFonts w:hint="eastAsia" w:ascii="宋体" w:hAnsi="宋体" w:eastAsia="宋体" w:cs="宋体"/>
                <w:color w:val="auto"/>
                <w:sz w:val="22"/>
                <w:szCs w:val="22"/>
                <w:highlight w:val="none"/>
                <w:lang w:eastAsia="zh-CN"/>
              </w:rPr>
            </w:pPr>
            <w:r>
              <w:rPr>
                <w:rFonts w:hint="eastAsia" w:ascii="宋体" w:hAnsi="宋体" w:eastAsia="宋体" w:cs="宋体"/>
                <w:sz w:val="22"/>
                <w:szCs w:val="22"/>
                <w:highlight w:val="none"/>
              </w:rPr>
              <w:t>项目组织管理承诺</w:t>
            </w:r>
          </w:p>
        </w:tc>
        <w:tc>
          <w:tcPr>
            <w:tcW w:w="477" w:type="pct"/>
            <w:tcBorders>
              <w:top w:val="single" w:color="000000" w:sz="8" w:space="0"/>
              <w:left w:val="single" w:color="000000" w:sz="8" w:space="0"/>
              <w:bottom w:val="single" w:color="000000" w:sz="8" w:space="0"/>
              <w:right w:val="single" w:color="000000" w:sz="8" w:space="0"/>
            </w:tcBorders>
            <w:noWrap w:val="0"/>
            <w:vAlign w:val="top"/>
            <w:tcPrChange w:id="17" w:author="Li" w:date="2025-08-11T09:55:38Z">
              <w:tcPr>
                <w:tcW w:w="478" w:type="pct"/>
                <w:gridSpan w:val="2"/>
                <w:tcBorders>
                  <w:top w:val="single" w:color="000000" w:sz="8" w:space="0"/>
                  <w:left w:val="single" w:color="000000" w:sz="8" w:space="0"/>
                  <w:bottom w:val="single" w:color="000000" w:sz="8" w:space="0"/>
                  <w:right w:val="single" w:color="000000" w:sz="8" w:space="0"/>
                </w:tcBorders>
                <w:noWrap w:val="0"/>
                <w:vAlign w:val="top"/>
              </w:tcPr>
            </w:tcPrChange>
          </w:tcPr>
          <w:p w14:paraId="6F8C2198">
            <w:pPr>
              <w:keepNext w:val="0"/>
              <w:keepLines w:val="0"/>
              <w:pageBreakBefore w:val="0"/>
              <w:kinsoku/>
              <w:wordWrap w:val="0"/>
              <w:overflowPunct/>
              <w:topLinePunct w:val="0"/>
              <w:bidi w:val="0"/>
              <w:snapToGrid/>
              <w:spacing w:line="240" w:lineRule="auto"/>
              <w:jc w:val="center"/>
              <w:rPr>
                <w:rFonts w:hint="eastAsia" w:ascii="宋体" w:hAnsi="宋体" w:eastAsia="宋体" w:cs="宋体"/>
                <w:color w:val="auto"/>
                <w:sz w:val="22"/>
                <w:szCs w:val="22"/>
                <w:highlight w:val="none"/>
                <w:lang w:val="en-US" w:eastAsia="zh-CN"/>
              </w:rPr>
            </w:pPr>
            <w:r>
              <w:rPr>
                <w:rFonts w:hint="eastAsia" w:ascii="宋体" w:hAnsi="宋体" w:eastAsia="宋体" w:cs="宋体"/>
                <w:sz w:val="22"/>
                <w:szCs w:val="22"/>
                <w:highlight w:val="none"/>
              </w:rPr>
              <w:t>2</w:t>
            </w:r>
          </w:p>
        </w:tc>
        <w:tc>
          <w:tcPr>
            <w:tcW w:w="2683" w:type="pct"/>
            <w:tcBorders>
              <w:top w:val="single" w:color="000000" w:sz="8" w:space="0"/>
              <w:left w:val="single" w:color="000000" w:sz="8" w:space="0"/>
              <w:bottom w:val="single" w:color="000000" w:sz="8" w:space="0"/>
              <w:right w:val="single" w:color="000000" w:sz="8" w:space="0"/>
            </w:tcBorders>
            <w:noWrap w:val="0"/>
            <w:vAlign w:val="top"/>
            <w:tcPrChange w:id="18" w:author="Li" w:date="2025-08-11T09:55:38Z">
              <w:tcPr>
                <w:tcW w:w="2682" w:type="pct"/>
                <w:gridSpan w:val="2"/>
                <w:tcBorders>
                  <w:top w:val="single" w:color="000000" w:sz="8" w:space="0"/>
                  <w:left w:val="single" w:color="000000" w:sz="8" w:space="0"/>
                  <w:bottom w:val="single" w:color="000000" w:sz="8" w:space="0"/>
                  <w:right w:val="single" w:color="000000" w:sz="8" w:space="0"/>
                </w:tcBorders>
                <w:noWrap w:val="0"/>
                <w:vAlign w:val="top"/>
              </w:tcPr>
            </w:tcPrChange>
          </w:tcPr>
          <w:p w14:paraId="378CB734">
            <w:pPr>
              <w:jc w:val="both"/>
              <w:rPr>
                <w:rFonts w:hint="eastAsia" w:ascii="宋体" w:hAnsi="宋体" w:eastAsia="宋体"/>
                <w:b/>
                <w:bCs/>
                <w:szCs w:val="21"/>
                <w:highlight w:val="none"/>
              </w:rPr>
            </w:pPr>
            <w:r>
              <w:rPr>
                <w:rFonts w:hint="eastAsia" w:ascii="宋体" w:hAnsi="宋体" w:eastAsia="宋体"/>
                <w:b/>
                <w:bCs/>
                <w:szCs w:val="21"/>
                <w:highlight w:val="none"/>
                <w:lang w:val="en-US" w:eastAsia="zh-CN"/>
              </w:rPr>
              <w:t>（一）</w:t>
            </w:r>
            <w:r>
              <w:rPr>
                <w:rFonts w:hint="eastAsia" w:ascii="宋体" w:hAnsi="宋体" w:eastAsia="宋体"/>
                <w:b/>
                <w:bCs/>
                <w:szCs w:val="21"/>
                <w:highlight w:val="none"/>
              </w:rPr>
              <w:t>评审内容：</w:t>
            </w:r>
          </w:p>
          <w:p w14:paraId="6A1EE9C7">
            <w:pPr>
              <w:jc w:val="both"/>
              <w:rPr>
                <w:rFonts w:hint="eastAsia" w:ascii="宋体" w:hAnsi="宋体" w:eastAsia="宋体"/>
                <w:szCs w:val="21"/>
                <w:highlight w:val="none"/>
              </w:rPr>
            </w:pPr>
            <w:r>
              <w:rPr>
                <w:rFonts w:hint="eastAsia" w:ascii="宋体" w:hAnsi="宋体" w:eastAsia="宋体"/>
                <w:szCs w:val="21"/>
                <w:highlight w:val="none"/>
              </w:rPr>
              <w:t>1.按时发放员工工资、绩效工资和奖金、福利等；</w:t>
            </w:r>
          </w:p>
          <w:p w14:paraId="230486CC">
            <w:pPr>
              <w:jc w:val="both"/>
              <w:rPr>
                <w:rFonts w:hint="eastAsia" w:ascii="宋体" w:hAnsi="宋体" w:eastAsia="宋体"/>
                <w:szCs w:val="21"/>
                <w:highlight w:val="none"/>
              </w:rPr>
            </w:pPr>
            <w:r>
              <w:rPr>
                <w:rFonts w:hint="eastAsia" w:ascii="宋体" w:hAnsi="宋体" w:eastAsia="宋体"/>
                <w:szCs w:val="21"/>
                <w:highlight w:val="none"/>
              </w:rPr>
              <w:t xml:space="preserve">2.负责员工的劳资纠纷及意外伤害的处理，如因处理不当或对采购单位带来不良影响的，承担经济和法律责任； </w:t>
            </w:r>
          </w:p>
          <w:p w14:paraId="441861B1">
            <w:pPr>
              <w:jc w:val="both"/>
              <w:rPr>
                <w:rFonts w:hint="eastAsia" w:ascii="宋体" w:hAnsi="宋体" w:eastAsia="宋体"/>
                <w:szCs w:val="21"/>
                <w:highlight w:val="none"/>
              </w:rPr>
            </w:pPr>
            <w:r>
              <w:rPr>
                <w:rFonts w:hint="eastAsia" w:ascii="宋体" w:hAnsi="宋体" w:eastAsia="宋体"/>
                <w:szCs w:val="21"/>
                <w:highlight w:val="none"/>
              </w:rPr>
              <w:t>3.落实文明管理服务措施，定期对员工进行相关培训，督促其做到热爱本职、热情服务，坚守岗位，切实履行工作职责，提供文明、优质服务；</w:t>
            </w:r>
          </w:p>
          <w:p w14:paraId="52D2D1EA">
            <w:pPr>
              <w:jc w:val="both"/>
              <w:rPr>
                <w:rFonts w:hint="eastAsia" w:ascii="宋体" w:hAnsi="宋体" w:eastAsia="宋体"/>
                <w:szCs w:val="21"/>
                <w:highlight w:val="none"/>
              </w:rPr>
            </w:pPr>
            <w:r>
              <w:rPr>
                <w:rFonts w:hint="eastAsia" w:ascii="宋体" w:hAnsi="宋体" w:eastAsia="宋体"/>
                <w:szCs w:val="21"/>
                <w:highlight w:val="none"/>
              </w:rPr>
              <w:t>4.对不遵守工作纪律，未达到</w:t>
            </w:r>
            <w:r>
              <w:rPr>
                <w:rFonts w:hint="eastAsia" w:ascii="宋体" w:hAnsi="宋体" w:eastAsia="宋体"/>
                <w:szCs w:val="21"/>
                <w:highlight w:val="none"/>
                <w:lang w:val="en-US" w:eastAsia="zh-CN"/>
              </w:rPr>
              <w:t>采购单位</w:t>
            </w:r>
            <w:r>
              <w:rPr>
                <w:rFonts w:hint="eastAsia" w:ascii="宋体" w:hAnsi="宋体" w:eastAsia="宋体"/>
                <w:szCs w:val="21"/>
                <w:highlight w:val="none"/>
              </w:rPr>
              <w:t>要求的员工，采购单位可要求更换，</w:t>
            </w:r>
            <w:r>
              <w:rPr>
                <w:rFonts w:hint="default" w:ascii="宋体" w:hAnsi="宋体"/>
                <w:szCs w:val="21"/>
                <w:highlight w:val="none"/>
              </w:rPr>
              <w:t>中标人</w:t>
            </w:r>
            <w:r>
              <w:rPr>
                <w:rFonts w:hint="eastAsia" w:ascii="宋体" w:hAnsi="宋体" w:eastAsia="宋体"/>
                <w:szCs w:val="21"/>
                <w:highlight w:val="none"/>
              </w:rPr>
              <w:t>无条件更换相同或更高级别的</w:t>
            </w:r>
            <w:r>
              <w:rPr>
                <w:rFonts w:hint="eastAsia" w:ascii="宋体" w:hAnsi="宋体" w:eastAsia="宋体"/>
                <w:szCs w:val="21"/>
                <w:highlight w:val="none"/>
                <w:lang w:eastAsia="zh-CN"/>
              </w:rPr>
              <w:t>工作</w:t>
            </w:r>
            <w:r>
              <w:rPr>
                <w:rFonts w:hint="eastAsia" w:ascii="宋体" w:hAnsi="宋体" w:eastAsia="宋体"/>
                <w:szCs w:val="21"/>
                <w:highlight w:val="none"/>
              </w:rPr>
              <w:t>人员。</w:t>
            </w:r>
          </w:p>
          <w:p w14:paraId="30ABEF07">
            <w:pPr>
              <w:jc w:val="both"/>
              <w:rPr>
                <w:rFonts w:hint="eastAsia" w:ascii="宋体" w:hAnsi="宋体" w:eastAsia="宋体"/>
                <w:szCs w:val="21"/>
                <w:highlight w:val="none"/>
              </w:rPr>
            </w:pPr>
            <w:r>
              <w:rPr>
                <w:rFonts w:hint="eastAsia" w:ascii="宋体" w:hAnsi="宋体"/>
                <w:b/>
                <w:bCs/>
                <w:szCs w:val="21"/>
                <w:highlight w:val="none"/>
                <w:lang w:eastAsia="zh-CN"/>
              </w:rPr>
              <w:t>（二）</w:t>
            </w:r>
            <w:bookmarkStart w:id="239" w:name="_GoBack"/>
            <w:bookmarkEnd w:id="239"/>
            <w:r>
              <w:rPr>
                <w:rFonts w:hint="eastAsia" w:ascii="宋体" w:hAnsi="宋体" w:eastAsia="宋体"/>
                <w:b/>
                <w:bCs/>
                <w:szCs w:val="21"/>
                <w:highlight w:val="none"/>
              </w:rPr>
              <w:t>评审依据：</w:t>
            </w:r>
          </w:p>
          <w:p w14:paraId="7C2A2759">
            <w:pPr>
              <w:jc w:val="both"/>
              <w:rPr>
                <w:rFonts w:hint="eastAsia" w:ascii="宋体" w:hAnsi="宋体" w:eastAsia="宋体" w:cs="宋体"/>
                <w:color w:val="auto"/>
                <w:sz w:val="22"/>
                <w:szCs w:val="22"/>
                <w:highlight w:val="none"/>
              </w:rPr>
            </w:pPr>
            <w:r>
              <w:rPr>
                <w:rFonts w:hint="eastAsia" w:ascii="宋体" w:hAnsi="宋体" w:eastAsia="宋体"/>
                <w:szCs w:val="21"/>
                <w:highlight w:val="none"/>
              </w:rPr>
              <w:t>投标人提供承诺书（格式自拟），承诺满足以上4项要求得</w:t>
            </w:r>
            <w:r>
              <w:rPr>
                <w:rFonts w:hint="eastAsia" w:ascii="宋体" w:hAnsi="宋体" w:eastAsia="宋体"/>
                <w:szCs w:val="21"/>
                <w:highlight w:val="none"/>
                <w:lang w:val="en-US" w:eastAsia="zh-CN"/>
              </w:rPr>
              <w:t>2分</w:t>
            </w:r>
            <w:r>
              <w:rPr>
                <w:rFonts w:hint="eastAsia" w:ascii="宋体" w:hAnsi="宋体" w:eastAsia="宋体"/>
                <w:szCs w:val="21"/>
                <w:highlight w:val="none"/>
                <w:lang w:eastAsia="zh-CN"/>
              </w:rPr>
              <w:t>，其他不</w:t>
            </w:r>
            <w:r>
              <w:rPr>
                <w:rFonts w:hint="eastAsia" w:ascii="宋体" w:hAnsi="宋体" w:eastAsia="宋体"/>
                <w:szCs w:val="21"/>
                <w:highlight w:val="none"/>
              </w:rPr>
              <w:t>得分。</w:t>
            </w:r>
          </w:p>
        </w:tc>
      </w:tr>
      <w:tr w14:paraId="3379145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Change w:id="19" w:author="Li" w:date="2025-08-11T09:55:38Z">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blPrExChange>
        </w:tblPrEx>
        <w:trPr>
          <w:wAfter w:w="0" w:type="auto"/>
          <w:trHeight w:val="0" w:hRule="atLeast"/>
          <w:jc w:val="center"/>
          <w:trPrChange w:id="19" w:author="Li" w:date="2025-08-11T09:55:38Z">
            <w:trPr>
              <w:gridAfter w:val="1"/>
              <w:wAfter w:w="2" w:type="dxa"/>
              <w:trHeight w:val="0" w:hRule="atLeast"/>
              <w:jc w:val="center"/>
            </w:trPr>
          </w:trPrChange>
        </w:trPr>
        <w:tc>
          <w:tcPr>
            <w:tcW w:w="374" w:type="pct"/>
            <w:vMerge w:val="continue"/>
            <w:tcBorders>
              <w:top w:val="single" w:color="000000" w:sz="8" w:space="0"/>
              <w:left w:val="single" w:color="000000" w:sz="8" w:space="0"/>
              <w:bottom w:val="single" w:color="000000" w:sz="8" w:space="0"/>
              <w:right w:val="single" w:color="000000" w:sz="8" w:space="0"/>
            </w:tcBorders>
            <w:noWrap w:val="0"/>
            <w:vAlign w:val="center"/>
            <w:tcPrChange w:id="20" w:author="Li" w:date="2025-08-11T09:55:38Z">
              <w:tcPr>
                <w:tcW w:w="374" w:type="pct"/>
                <w:gridSpan w:val="2"/>
                <w:vMerge w:val="continue"/>
                <w:tcBorders>
                  <w:top w:val="single" w:color="000000" w:sz="8" w:space="0"/>
                  <w:left w:val="single" w:color="000000" w:sz="8" w:space="0"/>
                  <w:bottom w:val="single" w:color="000000" w:sz="8" w:space="0"/>
                  <w:right w:val="single" w:color="000000" w:sz="8" w:space="0"/>
                </w:tcBorders>
                <w:noWrap w:val="0"/>
                <w:vAlign w:val="center"/>
              </w:tcPr>
            </w:tcPrChange>
          </w:tcPr>
          <w:p w14:paraId="553F20B2">
            <w:pPr>
              <w:keepNext w:val="0"/>
              <w:keepLines w:val="0"/>
              <w:pageBreakBefore w:val="0"/>
              <w:kinsoku/>
              <w:overflowPunct/>
              <w:topLinePunct w:val="0"/>
              <w:bidi w:val="0"/>
              <w:spacing w:line="240" w:lineRule="auto"/>
              <w:rPr>
                <w:rFonts w:hint="eastAsia" w:ascii="宋体" w:hAnsi="宋体" w:eastAsia="宋体" w:cs="宋体"/>
                <w:b/>
                <w:bCs/>
                <w:color w:val="0000FF"/>
                <w:sz w:val="22"/>
                <w:szCs w:val="22"/>
                <w:highlight w:val="none"/>
              </w:rPr>
            </w:pPr>
          </w:p>
        </w:tc>
        <w:tc>
          <w:tcPr>
            <w:tcW w:w="374" w:type="pct"/>
            <w:tcBorders>
              <w:top w:val="single" w:color="000000" w:sz="8" w:space="0"/>
              <w:left w:val="single" w:color="000000" w:sz="8" w:space="0"/>
              <w:bottom w:val="single" w:color="000000" w:sz="8" w:space="0"/>
              <w:right w:val="single" w:color="000000" w:sz="8" w:space="0"/>
            </w:tcBorders>
            <w:noWrap w:val="0"/>
            <w:vAlign w:val="top"/>
            <w:tcPrChange w:id="21" w:author="Li" w:date="2025-08-11T09:55:38Z">
              <w:tcPr>
                <w:tcW w:w="374" w:type="pct"/>
                <w:gridSpan w:val="2"/>
                <w:tcBorders>
                  <w:top w:val="single" w:color="000000" w:sz="8" w:space="0"/>
                  <w:left w:val="single" w:color="000000" w:sz="8" w:space="0"/>
                  <w:bottom w:val="single" w:color="000000" w:sz="8" w:space="0"/>
                  <w:right w:val="single" w:color="000000" w:sz="8" w:space="0"/>
                </w:tcBorders>
                <w:noWrap w:val="0"/>
                <w:vAlign w:val="top"/>
              </w:tcPr>
            </w:tcPrChange>
          </w:tcPr>
          <w:p w14:paraId="41E50D41">
            <w:pPr>
              <w:keepNext w:val="0"/>
              <w:keepLines w:val="0"/>
              <w:pageBreakBefore w:val="0"/>
              <w:kinsoku/>
              <w:wordWrap w:val="0"/>
              <w:overflowPunct/>
              <w:topLinePunct w:val="0"/>
              <w:bidi w:val="0"/>
              <w:spacing w:line="240" w:lineRule="auto"/>
              <w:jc w:val="center"/>
              <w:rPr>
                <w:rFonts w:hint="default" w:ascii="宋体" w:hAnsi="宋体" w:eastAsia="宋体" w:cs="宋体"/>
                <w:sz w:val="22"/>
                <w:szCs w:val="22"/>
                <w:highlight w:val="none"/>
                <w:lang w:val="en-US" w:eastAsia="zh-CN"/>
              </w:rPr>
            </w:pPr>
            <w:r>
              <w:rPr>
                <w:rFonts w:hint="eastAsia" w:ascii="宋体" w:hAnsi="宋体" w:cs="宋体"/>
                <w:sz w:val="22"/>
                <w:szCs w:val="22"/>
                <w:highlight w:val="none"/>
                <w:lang w:val="en-US" w:eastAsia="zh-CN"/>
              </w:rPr>
              <w:t>10</w:t>
            </w:r>
          </w:p>
        </w:tc>
        <w:tc>
          <w:tcPr>
            <w:tcW w:w="1090" w:type="pct"/>
            <w:tcBorders>
              <w:top w:val="single" w:color="000000" w:sz="8" w:space="0"/>
              <w:left w:val="single" w:color="000000" w:sz="8" w:space="0"/>
              <w:bottom w:val="single" w:color="000000" w:sz="8" w:space="0"/>
              <w:right w:val="single" w:color="000000" w:sz="8" w:space="0"/>
            </w:tcBorders>
            <w:noWrap w:val="0"/>
            <w:vAlign w:val="top"/>
            <w:tcPrChange w:id="22" w:author="Li" w:date="2025-08-11T09:55:38Z">
              <w:tcPr>
                <w:tcW w:w="1090" w:type="pct"/>
                <w:gridSpan w:val="2"/>
                <w:tcBorders>
                  <w:top w:val="single" w:color="000000" w:sz="8" w:space="0"/>
                  <w:left w:val="single" w:color="000000" w:sz="8" w:space="0"/>
                  <w:bottom w:val="single" w:color="000000" w:sz="8" w:space="0"/>
                  <w:right w:val="single" w:color="000000" w:sz="8" w:space="0"/>
                </w:tcBorders>
                <w:noWrap w:val="0"/>
                <w:vAlign w:val="top"/>
              </w:tcPr>
            </w:tcPrChange>
          </w:tcPr>
          <w:p w14:paraId="1E6A1225">
            <w:pPr>
              <w:keepNext w:val="0"/>
              <w:keepLines w:val="0"/>
              <w:pageBreakBefore w:val="0"/>
              <w:kinsoku/>
              <w:wordWrap w:val="0"/>
              <w:overflowPunct/>
              <w:topLinePunct w:val="0"/>
              <w:bidi w:val="0"/>
              <w:spacing w:line="240" w:lineRule="auto"/>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诚信情况</w:t>
            </w:r>
          </w:p>
        </w:tc>
        <w:tc>
          <w:tcPr>
            <w:tcW w:w="477" w:type="pct"/>
            <w:tcBorders>
              <w:top w:val="single" w:color="000000" w:sz="8" w:space="0"/>
              <w:left w:val="single" w:color="000000" w:sz="8" w:space="0"/>
              <w:bottom w:val="single" w:color="000000" w:sz="8" w:space="0"/>
              <w:right w:val="single" w:color="000000" w:sz="8" w:space="0"/>
            </w:tcBorders>
            <w:noWrap w:val="0"/>
            <w:vAlign w:val="top"/>
            <w:tcPrChange w:id="23" w:author="Li" w:date="2025-08-11T09:55:38Z">
              <w:tcPr>
                <w:tcW w:w="478" w:type="pct"/>
                <w:gridSpan w:val="2"/>
                <w:tcBorders>
                  <w:top w:val="single" w:color="000000" w:sz="8" w:space="0"/>
                  <w:left w:val="single" w:color="000000" w:sz="8" w:space="0"/>
                  <w:bottom w:val="single" w:color="000000" w:sz="8" w:space="0"/>
                  <w:right w:val="single" w:color="000000" w:sz="8" w:space="0"/>
                </w:tcBorders>
                <w:noWrap w:val="0"/>
                <w:vAlign w:val="top"/>
              </w:tcPr>
            </w:tcPrChange>
          </w:tcPr>
          <w:p w14:paraId="46BCD5BB">
            <w:pPr>
              <w:keepNext w:val="0"/>
              <w:keepLines w:val="0"/>
              <w:pageBreakBefore w:val="0"/>
              <w:widowControl/>
              <w:kinsoku/>
              <w:wordWrap w:val="0"/>
              <w:overflowPunct/>
              <w:topLinePunct w:val="0"/>
              <w:bidi w:val="0"/>
              <w:spacing w:line="240" w:lineRule="auto"/>
              <w:jc w:val="center"/>
              <w:textAlignment w:val="top"/>
              <w:rPr>
                <w:rFonts w:hint="eastAsia" w:ascii="宋体" w:hAnsi="宋体" w:eastAsia="宋体" w:cs="宋体"/>
                <w:sz w:val="22"/>
                <w:szCs w:val="22"/>
                <w:highlight w:val="none"/>
              </w:rPr>
            </w:pPr>
            <w:r>
              <w:rPr>
                <w:rFonts w:hint="eastAsia" w:ascii="宋体" w:hAnsi="宋体" w:eastAsia="宋体" w:cs="宋体"/>
                <w:sz w:val="22"/>
                <w:szCs w:val="22"/>
                <w:highlight w:val="none"/>
              </w:rPr>
              <w:t>5</w:t>
            </w:r>
          </w:p>
        </w:tc>
        <w:tc>
          <w:tcPr>
            <w:tcW w:w="2683" w:type="pct"/>
            <w:tcBorders>
              <w:top w:val="single" w:color="000000" w:sz="8" w:space="0"/>
              <w:left w:val="single" w:color="000000" w:sz="8" w:space="0"/>
              <w:bottom w:val="single" w:color="000000" w:sz="8" w:space="0"/>
              <w:right w:val="single" w:color="000000" w:sz="8" w:space="0"/>
            </w:tcBorders>
            <w:noWrap w:val="0"/>
            <w:vAlign w:val="top"/>
            <w:tcPrChange w:id="24" w:author="Li" w:date="2025-08-11T09:55:38Z">
              <w:tcPr>
                <w:tcW w:w="2682" w:type="pct"/>
                <w:gridSpan w:val="2"/>
                <w:tcBorders>
                  <w:top w:val="single" w:color="000000" w:sz="8" w:space="0"/>
                  <w:left w:val="single" w:color="000000" w:sz="8" w:space="0"/>
                  <w:bottom w:val="single" w:color="000000" w:sz="8" w:space="0"/>
                  <w:right w:val="single" w:color="000000" w:sz="8" w:space="0"/>
                </w:tcBorders>
                <w:noWrap w:val="0"/>
                <w:vAlign w:val="top"/>
              </w:tcPr>
            </w:tcPrChange>
          </w:tcPr>
          <w:p w14:paraId="1917628D">
            <w:pPr>
              <w:jc w:val="both"/>
              <w:rPr>
                <w:rFonts w:hint="eastAsia" w:ascii="宋体" w:hAnsi="宋体" w:eastAsia="宋体"/>
                <w:szCs w:val="21"/>
                <w:highlight w:val="none"/>
              </w:rPr>
            </w:pPr>
            <w:r>
              <w:rPr>
                <w:rFonts w:hint="eastAsia" w:ascii="宋体" w:hAnsi="宋体" w:eastAsia="宋体"/>
                <w:szCs w:val="21"/>
                <w:highlight w:val="none"/>
              </w:rPr>
              <w:t>投标人存在《深圳市财政局政府采购供应商信用信息管理办法》（深财规〔2023〕3号）列明的一般行政处罚信息、一般违法失信记录信息的，本项不得分，不存在上述情形的本项得</w:t>
            </w:r>
            <w:r>
              <w:rPr>
                <w:rFonts w:hint="eastAsia" w:ascii="宋体" w:hAnsi="宋体" w:eastAsia="宋体"/>
                <w:szCs w:val="21"/>
                <w:highlight w:val="none"/>
                <w:lang w:val="en-US" w:eastAsia="zh-CN"/>
              </w:rPr>
              <w:t>5</w:t>
            </w:r>
            <w:r>
              <w:rPr>
                <w:rFonts w:hint="eastAsia" w:ascii="宋体" w:hAnsi="宋体" w:eastAsia="宋体"/>
                <w:szCs w:val="21"/>
                <w:highlight w:val="none"/>
              </w:rPr>
              <w:t>分。</w:t>
            </w:r>
          </w:p>
          <w:p w14:paraId="403F02A9">
            <w:pPr>
              <w:jc w:val="both"/>
              <w:rPr>
                <w:rFonts w:hint="eastAsia" w:ascii="宋体" w:hAnsi="宋体" w:eastAsia="宋体" w:cs="宋体"/>
                <w:sz w:val="22"/>
                <w:szCs w:val="22"/>
                <w:highlight w:val="none"/>
              </w:rPr>
            </w:pPr>
            <w:r>
              <w:rPr>
                <w:rFonts w:hint="eastAsia" w:ascii="宋体" w:hAnsi="宋体" w:eastAsia="宋体"/>
                <w:szCs w:val="21"/>
                <w:highlight w:val="none"/>
              </w:rPr>
              <w:t>投标人无需提供任何证明材料，评标过程中由工作人员向评审委员会提供</w:t>
            </w:r>
            <w:r>
              <w:rPr>
                <w:rFonts w:hint="eastAsia" w:ascii="宋体" w:hAnsi="宋体" w:eastAsia="宋体"/>
                <w:szCs w:val="21"/>
                <w:highlight w:val="none"/>
                <w:lang w:val="en-US" w:eastAsia="zh-CN"/>
              </w:rPr>
              <w:t>有关</w:t>
            </w:r>
            <w:r>
              <w:rPr>
                <w:rFonts w:hint="eastAsia" w:ascii="宋体" w:hAnsi="宋体" w:eastAsia="宋体"/>
                <w:szCs w:val="21"/>
                <w:highlight w:val="none"/>
              </w:rPr>
              <w:t>供应商诚信查询结果。</w:t>
            </w:r>
            <w:r>
              <w:rPr>
                <w:rFonts w:hint="eastAsia" w:ascii="宋体" w:hAnsi="宋体" w:eastAsia="宋体"/>
                <w:szCs w:val="21"/>
                <w:highlight w:val="none"/>
                <w:lang w:val="en-US" w:eastAsia="zh-CN"/>
              </w:rPr>
              <w:t>查询渠道：通过“信用中国”（www.creditchina.gov.cn，下载信用信息报告）、“中国政府采购网”（www.ccgp.gov.cn），以及“深圳市政府采购监管网”（http://zfcg.sz.gov.cn）查询供应商信用信息，信用信息以开标当日的查询结果为准。</w:t>
            </w:r>
          </w:p>
        </w:tc>
      </w:tr>
    </w:tbl>
    <w:p w14:paraId="28CB67AE">
      <w:pPr>
        <w:rPr>
          <w:rFonts w:hint="eastAsia" w:ascii="宋体" w:hAnsi="宋体" w:eastAsia="宋体" w:cs="宋体"/>
          <w:color w:val="auto"/>
          <w:highlight w:val="none"/>
        </w:rPr>
      </w:pPr>
      <w:r>
        <w:rPr>
          <w:rFonts w:hint="eastAsia" w:ascii="宋体" w:hAnsi="宋体" w:eastAsia="宋体" w:cs="宋体"/>
          <w:color w:val="auto"/>
          <w:highlight w:val="none"/>
        </w:rPr>
        <w:t>备注：</w:t>
      </w:r>
    </w:p>
    <w:p w14:paraId="17715408">
      <w:pPr>
        <w:rPr>
          <w:rFonts w:hint="eastAsia" w:ascii="宋体" w:hAnsi="宋体" w:eastAsia="宋体" w:cs="宋体"/>
          <w:color w:val="auto"/>
          <w:highlight w:val="none"/>
        </w:rPr>
      </w:pPr>
      <w:r>
        <w:rPr>
          <w:rFonts w:hint="eastAsia" w:ascii="宋体" w:hAnsi="宋体" w:eastAsia="宋体" w:cs="宋体"/>
          <w:color w:val="auto"/>
          <w:highlight w:val="none"/>
        </w:rPr>
        <w:t>1.价格、技术、商务部分累加分为100分。</w:t>
      </w:r>
    </w:p>
    <w:p w14:paraId="683E8183">
      <w:pPr>
        <w:jc w:val="left"/>
        <w:rPr>
          <w:rFonts w:hint="eastAsia" w:ascii="宋体" w:hAnsi="宋体" w:eastAsia="宋体" w:cs="宋体"/>
          <w:color w:val="auto"/>
          <w:highlight w:val="none"/>
        </w:rPr>
      </w:pPr>
      <w:r>
        <w:rPr>
          <w:rFonts w:hint="eastAsia" w:ascii="宋体" w:hAnsi="宋体" w:eastAsia="宋体" w:cs="宋体"/>
          <w:color w:val="auto"/>
          <w:highlight w:val="none"/>
        </w:rPr>
        <w:t>2.各投标人得分精确到小数点后两位。</w:t>
      </w:r>
    </w:p>
    <w:p w14:paraId="297D5264">
      <w:pPr>
        <w:rPr>
          <w:rFonts w:hint="eastAsia" w:ascii="宋体" w:hAnsi="宋体" w:eastAsia="宋体" w:cs="宋体"/>
          <w:b/>
          <w:color w:val="auto"/>
          <w:sz w:val="52"/>
          <w:szCs w:val="52"/>
          <w:highlight w:val="none"/>
        </w:rPr>
      </w:pPr>
    </w:p>
    <w:p w14:paraId="6BC2F2E2">
      <w:pPr>
        <w:pStyle w:val="37"/>
        <w:rPr>
          <w:rFonts w:hint="eastAsia" w:ascii="宋体" w:hAnsi="宋体" w:eastAsia="宋体" w:cs="宋体"/>
          <w:color w:val="auto"/>
          <w:highlight w:val="none"/>
        </w:rPr>
      </w:pPr>
    </w:p>
    <w:p w14:paraId="16719318">
      <w:pPr>
        <w:pStyle w:val="37"/>
        <w:rPr>
          <w:rFonts w:hint="eastAsia" w:ascii="宋体" w:hAnsi="宋体" w:eastAsia="宋体" w:cs="宋体"/>
          <w:color w:val="auto"/>
          <w:highlight w:val="none"/>
        </w:rPr>
      </w:pPr>
    </w:p>
    <w:p w14:paraId="1208E35C">
      <w:pPr>
        <w:rPr>
          <w:rFonts w:hint="eastAsia" w:ascii="宋体" w:hAnsi="宋体" w:eastAsia="宋体" w:cs="宋体"/>
          <w:b/>
          <w:color w:val="auto"/>
          <w:sz w:val="52"/>
          <w:szCs w:val="52"/>
          <w:highlight w:val="none"/>
        </w:rPr>
      </w:pPr>
      <w:r>
        <w:rPr>
          <w:rFonts w:hint="eastAsia" w:ascii="宋体" w:hAnsi="宋体" w:eastAsia="宋体" w:cs="宋体"/>
          <w:b/>
          <w:color w:val="auto"/>
          <w:sz w:val="52"/>
          <w:szCs w:val="52"/>
          <w:highlight w:val="none"/>
        </w:rPr>
        <w:br w:type="page"/>
      </w:r>
    </w:p>
    <w:p w14:paraId="122967ED">
      <w:pPr>
        <w:pStyle w:val="10"/>
        <w:rPr>
          <w:rFonts w:hint="eastAsia"/>
        </w:rPr>
      </w:pPr>
    </w:p>
    <w:p w14:paraId="5FBB46A0">
      <w:pPr>
        <w:pStyle w:val="2"/>
        <w:rPr>
          <w:rFonts w:hint="eastAsia" w:ascii="宋体" w:hAnsi="宋体" w:eastAsia="宋体" w:cs="宋体"/>
          <w:b/>
          <w:color w:val="auto"/>
          <w:sz w:val="44"/>
          <w:highlight w:val="none"/>
        </w:rPr>
      </w:pPr>
      <w:r>
        <w:rPr>
          <w:rFonts w:hint="eastAsia" w:ascii="宋体" w:hAnsi="宋体" w:eastAsia="宋体" w:cs="宋体"/>
          <w:b/>
          <w:color w:val="auto"/>
          <w:sz w:val="52"/>
          <w:szCs w:val="52"/>
          <w:highlight w:val="none"/>
        </w:rPr>
        <w:t>第一册  专用条款</w:t>
      </w:r>
    </w:p>
    <w:p w14:paraId="1B7033B7">
      <w:pPr>
        <w:pStyle w:val="3"/>
        <w:rPr>
          <w:rFonts w:hint="eastAsia" w:ascii="宋体" w:hAnsi="宋体" w:eastAsia="宋体" w:cs="宋体"/>
          <w:color w:val="auto"/>
          <w:sz w:val="22"/>
          <w:highlight w:val="none"/>
        </w:rPr>
      </w:pPr>
      <w:bookmarkStart w:id="0" w:name="bt投标函"/>
      <w:bookmarkEnd w:id="0"/>
      <w:bookmarkStart w:id="1" w:name="bt投标文件签署授权委托书"/>
      <w:bookmarkEnd w:id="1"/>
      <w:bookmarkStart w:id="2" w:name="bt其他资料2"/>
      <w:bookmarkEnd w:id="2"/>
      <w:bookmarkStart w:id="3" w:name="bt开标一览表"/>
      <w:bookmarkEnd w:id="3"/>
      <w:bookmarkStart w:id="4" w:name="bt投标报价汇总表"/>
      <w:bookmarkEnd w:id="4"/>
      <w:bookmarkStart w:id="5" w:name="bt投标人须知"/>
      <w:bookmarkEnd w:id="5"/>
      <w:bookmarkStart w:id="6" w:name="bt项目管理班子配备情况"/>
      <w:bookmarkEnd w:id="6"/>
      <w:bookmarkStart w:id="7" w:name="bt商务标投标文件格式"/>
      <w:bookmarkEnd w:id="7"/>
      <w:bookmarkStart w:id="8" w:name="bt本工程承诺书"/>
      <w:bookmarkEnd w:id="8"/>
      <w:bookmarkStart w:id="9" w:name="bt合同格式"/>
      <w:bookmarkEnd w:id="9"/>
      <w:bookmarkStart w:id="10" w:name="bt技术标投标文件格式"/>
      <w:bookmarkEnd w:id="10"/>
      <w:bookmarkStart w:id="11" w:name="bt合同条款"/>
      <w:bookmarkEnd w:id="11"/>
      <w:bookmarkStart w:id="12" w:name="合同格式"/>
      <w:bookmarkEnd w:id="12"/>
      <w:bookmarkStart w:id="13" w:name="bt其他资料由投标人自定"/>
      <w:bookmarkEnd w:id="13"/>
      <w:bookmarkStart w:id="14" w:name="bt合同条款及格式"/>
      <w:bookmarkEnd w:id="14"/>
      <w:bookmarkStart w:id="15" w:name="bt投标人情况介绍"/>
      <w:bookmarkEnd w:id="15"/>
      <w:bookmarkStart w:id="16" w:name="bt说明"/>
      <w:bookmarkEnd w:id="16"/>
      <w:r>
        <w:rPr>
          <w:rFonts w:hint="eastAsia" w:ascii="宋体" w:hAnsi="宋体" w:eastAsia="宋体" w:cs="宋体"/>
          <w:color w:val="auto"/>
          <w:sz w:val="36"/>
          <w:szCs w:val="22"/>
          <w:highlight w:val="none"/>
        </w:rPr>
        <w:t>第一章  招标公告</w:t>
      </w:r>
    </w:p>
    <w:p w14:paraId="3C8FE3E7">
      <w:pPr>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深圳市东海国际招标有限公司（以下简称“采购代理机构”）受采购人委托，就</w:t>
      </w:r>
      <w:r>
        <w:rPr>
          <w:rFonts w:hint="eastAsia" w:ascii="宋体" w:hAnsi="宋体" w:cs="宋体"/>
          <w:color w:val="auto"/>
          <w:sz w:val="22"/>
          <w:szCs w:val="22"/>
          <w:highlight w:val="none"/>
          <w:lang w:eastAsia="zh-CN"/>
        </w:rPr>
        <w:t>食堂管理服务项目</w:t>
      </w:r>
      <w:r>
        <w:rPr>
          <w:rFonts w:hint="eastAsia" w:ascii="宋体" w:hAnsi="宋体" w:eastAsia="宋体" w:cs="宋体"/>
          <w:color w:val="auto"/>
          <w:sz w:val="22"/>
          <w:szCs w:val="22"/>
          <w:highlight w:val="none"/>
        </w:rPr>
        <w:t>进行公开招标，欢迎符合资格条件的投标人前来投标。</w:t>
      </w:r>
      <w:r>
        <w:rPr>
          <w:rFonts w:hint="eastAsia" w:ascii="宋体" w:hAnsi="宋体" w:cs="宋体"/>
          <w:color w:val="auto"/>
          <w:sz w:val="22"/>
          <w:szCs w:val="22"/>
          <w:highlight w:val="none"/>
          <w:lang w:eastAsia="zh-CN"/>
        </w:rPr>
        <w:t>食堂管理服务项目</w:t>
      </w:r>
      <w:r>
        <w:rPr>
          <w:rFonts w:hint="eastAsia" w:ascii="宋体" w:hAnsi="宋体" w:eastAsia="宋体" w:cs="宋体"/>
          <w:color w:val="auto"/>
          <w:sz w:val="22"/>
          <w:szCs w:val="22"/>
          <w:highlight w:val="none"/>
        </w:rPr>
        <w:t>的潜在投标人应在</w:t>
      </w:r>
      <w:r>
        <w:rPr>
          <w:rFonts w:hint="eastAsia" w:ascii="宋体" w:hAnsi="宋体" w:eastAsia="宋体" w:cs="宋体"/>
          <w:color w:val="auto"/>
          <w:sz w:val="22"/>
          <w:szCs w:val="22"/>
          <w:highlight w:val="none"/>
          <w:lang w:eastAsia="zh-CN"/>
        </w:rPr>
        <w:t>深圳市罗湖区太宁路2号百仕达大厦27B</w:t>
      </w:r>
      <w:r>
        <w:rPr>
          <w:rFonts w:hint="eastAsia" w:ascii="宋体" w:hAnsi="宋体" w:eastAsia="宋体" w:cs="宋体"/>
          <w:color w:val="auto"/>
          <w:sz w:val="22"/>
          <w:szCs w:val="22"/>
          <w:highlight w:val="none"/>
        </w:rPr>
        <w:t>获取招标文件，并于</w:t>
      </w:r>
      <w:r>
        <w:rPr>
          <w:rFonts w:hint="eastAsia" w:ascii="宋体" w:hAnsi="宋体" w:eastAsia="宋体" w:cs="宋体"/>
          <w:color w:val="FF0000"/>
          <w:kern w:val="2"/>
          <w:sz w:val="22"/>
          <w:szCs w:val="22"/>
          <w:highlight w:val="none"/>
          <w:lang w:val="en-US" w:eastAsia="zh-CN" w:bidi="ar-SA"/>
        </w:rPr>
        <w:t>202</w:t>
      </w:r>
      <w:r>
        <w:rPr>
          <w:rFonts w:hint="default" w:ascii="宋体" w:hAnsi="宋体" w:cs="宋体"/>
          <w:color w:val="FF0000"/>
          <w:kern w:val="2"/>
          <w:sz w:val="22"/>
          <w:szCs w:val="22"/>
          <w:highlight w:val="none"/>
          <w:lang w:eastAsia="zh-CN" w:bidi="ar-SA"/>
        </w:rPr>
        <w:t>5</w:t>
      </w:r>
      <w:r>
        <w:rPr>
          <w:rFonts w:hint="eastAsia" w:ascii="宋体" w:hAnsi="宋体" w:eastAsia="宋体" w:cs="宋体"/>
          <w:color w:val="FF0000"/>
          <w:kern w:val="2"/>
          <w:sz w:val="22"/>
          <w:szCs w:val="22"/>
          <w:highlight w:val="none"/>
          <w:lang w:val="en-US" w:eastAsia="zh-CN" w:bidi="ar-SA"/>
        </w:rPr>
        <w:t>年 月  日  点 分</w:t>
      </w:r>
      <w:r>
        <w:rPr>
          <w:rFonts w:hint="eastAsia" w:ascii="宋体" w:hAnsi="宋体" w:eastAsia="宋体" w:cs="宋体"/>
          <w:color w:val="FF0000"/>
          <w:sz w:val="22"/>
          <w:szCs w:val="22"/>
          <w:highlight w:val="none"/>
        </w:rPr>
        <w:t>（北京时间）</w:t>
      </w:r>
      <w:r>
        <w:rPr>
          <w:rFonts w:hint="eastAsia" w:ascii="宋体" w:hAnsi="宋体" w:eastAsia="宋体" w:cs="宋体"/>
          <w:color w:val="auto"/>
          <w:sz w:val="22"/>
          <w:szCs w:val="22"/>
          <w:highlight w:val="none"/>
        </w:rPr>
        <w:t>前递交投标文件。</w:t>
      </w:r>
    </w:p>
    <w:p w14:paraId="764078F8">
      <w:pPr>
        <w:pStyle w:val="3"/>
        <w:adjustRightInd/>
        <w:jc w:val="both"/>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一、项目基本情况</w:t>
      </w:r>
    </w:p>
    <w:p w14:paraId="1A3D8E92">
      <w:pPr>
        <w:numPr>
          <w:ilvl w:val="0"/>
          <w:numId w:val="4"/>
        </w:numPr>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项目编号：</w:t>
      </w:r>
      <w:r>
        <w:rPr>
          <w:rFonts w:hint="eastAsia" w:ascii="宋体" w:hAnsi="宋体" w:cs="宋体"/>
          <w:color w:val="auto"/>
          <w:sz w:val="22"/>
          <w:szCs w:val="22"/>
          <w:highlight w:val="none"/>
          <w:lang w:eastAsia="zh-CN"/>
        </w:rPr>
        <w:t>3324-DH2532F4114(BAZXDL-2025-00411)</w:t>
      </w:r>
    </w:p>
    <w:p w14:paraId="5E10F39D">
      <w:pPr>
        <w:numPr>
          <w:ilvl w:val="0"/>
          <w:numId w:val="4"/>
        </w:numPr>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项目名称：</w:t>
      </w:r>
      <w:r>
        <w:rPr>
          <w:rFonts w:hint="eastAsia" w:ascii="宋体" w:hAnsi="宋体" w:cs="宋体"/>
          <w:color w:val="auto"/>
          <w:sz w:val="22"/>
          <w:szCs w:val="22"/>
          <w:highlight w:val="none"/>
          <w:lang w:eastAsia="zh-CN"/>
        </w:rPr>
        <w:t>食堂管理服务项目</w:t>
      </w:r>
    </w:p>
    <w:p w14:paraId="759AC4C2">
      <w:pPr>
        <w:numPr>
          <w:ilvl w:val="0"/>
          <w:numId w:val="4"/>
        </w:numPr>
        <w:spacing w:line="360" w:lineRule="auto"/>
        <w:rPr>
          <w:rFonts w:hint="eastAsia" w:ascii="宋体" w:hAnsi="宋体" w:eastAsia="宋体" w:cs="宋体"/>
          <w:b w:val="0"/>
          <w:bCs w:val="0"/>
          <w:color w:val="auto"/>
          <w:sz w:val="22"/>
          <w:szCs w:val="22"/>
          <w:highlight w:val="none"/>
        </w:rPr>
      </w:pPr>
      <w:r>
        <w:rPr>
          <w:rFonts w:hint="eastAsia" w:ascii="宋体" w:hAnsi="宋体" w:eastAsia="宋体" w:cs="宋体"/>
          <w:color w:val="auto"/>
          <w:sz w:val="22"/>
          <w:szCs w:val="22"/>
          <w:highlight w:val="none"/>
        </w:rPr>
        <w:t>预算金</w:t>
      </w:r>
      <w:r>
        <w:rPr>
          <w:rFonts w:hint="eastAsia" w:ascii="宋体" w:hAnsi="宋体" w:eastAsia="宋体" w:cs="宋体"/>
          <w:b w:val="0"/>
          <w:bCs w:val="0"/>
          <w:color w:val="auto"/>
          <w:sz w:val="22"/>
          <w:szCs w:val="22"/>
          <w:highlight w:val="none"/>
        </w:rPr>
        <w:t>额：人民币</w:t>
      </w:r>
      <w:r>
        <w:rPr>
          <w:rFonts w:hint="eastAsia" w:ascii="宋体" w:hAnsi="宋体" w:cs="宋体"/>
          <w:b w:val="0"/>
          <w:bCs w:val="0"/>
          <w:color w:val="auto"/>
          <w:sz w:val="22"/>
          <w:szCs w:val="22"/>
          <w:highlight w:val="none"/>
          <w:lang w:val="en-US" w:eastAsia="zh-CN"/>
        </w:rPr>
        <w:t>985,000</w:t>
      </w:r>
      <w:r>
        <w:rPr>
          <w:rFonts w:hint="eastAsia" w:ascii="宋体" w:hAnsi="宋体" w:eastAsia="宋体" w:cs="宋体"/>
          <w:b w:val="0"/>
          <w:bCs w:val="0"/>
          <w:color w:val="auto"/>
          <w:sz w:val="22"/>
          <w:szCs w:val="22"/>
          <w:highlight w:val="none"/>
          <w:lang w:eastAsia="zh-CN"/>
        </w:rPr>
        <w:t>.00</w:t>
      </w:r>
      <w:r>
        <w:rPr>
          <w:rFonts w:hint="eastAsia" w:ascii="宋体" w:hAnsi="宋体" w:eastAsia="宋体" w:cs="宋体"/>
          <w:b w:val="0"/>
          <w:bCs w:val="0"/>
          <w:color w:val="auto"/>
          <w:sz w:val="22"/>
          <w:szCs w:val="22"/>
          <w:highlight w:val="none"/>
        </w:rPr>
        <w:t>元</w:t>
      </w:r>
    </w:p>
    <w:p w14:paraId="76307903">
      <w:pPr>
        <w:numPr>
          <w:ilvl w:val="0"/>
          <w:numId w:val="4"/>
        </w:numPr>
        <w:spacing w:line="360" w:lineRule="auto"/>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最高限价：人民币</w:t>
      </w:r>
      <w:r>
        <w:rPr>
          <w:rFonts w:hint="eastAsia" w:ascii="宋体" w:hAnsi="宋体" w:cs="宋体"/>
          <w:b w:val="0"/>
          <w:bCs w:val="0"/>
          <w:color w:val="auto"/>
          <w:sz w:val="22"/>
          <w:szCs w:val="22"/>
          <w:highlight w:val="none"/>
          <w:lang w:val="en-US" w:eastAsia="zh-CN"/>
        </w:rPr>
        <w:t>985,000</w:t>
      </w:r>
      <w:r>
        <w:rPr>
          <w:rFonts w:hint="eastAsia" w:ascii="宋体" w:hAnsi="宋体" w:eastAsia="宋体" w:cs="宋体"/>
          <w:b w:val="0"/>
          <w:bCs w:val="0"/>
          <w:color w:val="auto"/>
          <w:sz w:val="22"/>
          <w:szCs w:val="22"/>
          <w:highlight w:val="none"/>
          <w:lang w:eastAsia="zh-CN"/>
        </w:rPr>
        <w:t>.00</w:t>
      </w:r>
      <w:r>
        <w:rPr>
          <w:rFonts w:hint="eastAsia" w:ascii="宋体" w:hAnsi="宋体" w:eastAsia="宋体" w:cs="宋体"/>
          <w:b w:val="0"/>
          <w:bCs w:val="0"/>
          <w:color w:val="auto"/>
          <w:sz w:val="22"/>
          <w:szCs w:val="22"/>
          <w:highlight w:val="none"/>
        </w:rPr>
        <w:t>元</w:t>
      </w:r>
    </w:p>
    <w:p w14:paraId="7DB0849D">
      <w:pPr>
        <w:numPr>
          <w:ilvl w:val="0"/>
          <w:numId w:val="4"/>
        </w:numPr>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采购需求：</w:t>
      </w:r>
    </w:p>
    <w:p w14:paraId="4E5B2C54">
      <w:pPr>
        <w:numPr>
          <w:ilvl w:val="0"/>
          <w:numId w:val="5"/>
        </w:numPr>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标的名称：</w:t>
      </w:r>
      <w:r>
        <w:rPr>
          <w:rFonts w:hint="eastAsia" w:ascii="宋体" w:hAnsi="宋体" w:cs="宋体"/>
          <w:color w:val="auto"/>
          <w:sz w:val="22"/>
          <w:szCs w:val="22"/>
          <w:highlight w:val="none"/>
          <w:lang w:eastAsia="zh-CN"/>
        </w:rPr>
        <w:t>食堂管理服务项目</w:t>
      </w:r>
    </w:p>
    <w:p w14:paraId="0CE30439">
      <w:pPr>
        <w:numPr>
          <w:ilvl w:val="0"/>
          <w:numId w:val="5"/>
        </w:numPr>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标的数量：1项。</w:t>
      </w:r>
    </w:p>
    <w:p w14:paraId="72AE5408">
      <w:pPr>
        <w:numPr>
          <w:ilvl w:val="0"/>
          <w:numId w:val="5"/>
        </w:numPr>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简要技术需求或服务要求：详细内容请参阅招标文件第二章《招标项目需求》。</w:t>
      </w:r>
    </w:p>
    <w:p w14:paraId="29744A01">
      <w:pPr>
        <w:numPr>
          <w:ilvl w:val="0"/>
          <w:numId w:val="4"/>
        </w:numPr>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合同履行期限：</w:t>
      </w:r>
      <w:r>
        <w:rPr>
          <w:rFonts w:hint="eastAsia" w:ascii="宋体" w:hAnsi="宋体" w:eastAsia="宋体" w:cs="宋体"/>
          <w:color w:val="auto"/>
          <w:szCs w:val="21"/>
          <w:highlight w:val="none"/>
          <w:shd w:val="clear" w:color="auto" w:fill="auto"/>
          <w:lang w:eastAsia="zh-CN"/>
        </w:rPr>
        <w:t>详见招标文件</w:t>
      </w:r>
      <w:r>
        <w:rPr>
          <w:rFonts w:hint="eastAsia" w:ascii="宋体" w:hAnsi="宋体" w:eastAsia="宋体" w:cs="宋体"/>
          <w:color w:val="auto"/>
          <w:sz w:val="22"/>
          <w:szCs w:val="22"/>
          <w:highlight w:val="none"/>
        </w:rPr>
        <w:t>。</w:t>
      </w:r>
    </w:p>
    <w:p w14:paraId="69D03831">
      <w:pPr>
        <w:numPr>
          <w:ilvl w:val="0"/>
          <w:numId w:val="4"/>
        </w:numPr>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本项目不接受联合体投标。</w:t>
      </w:r>
    </w:p>
    <w:p w14:paraId="762C593B">
      <w:pPr>
        <w:pStyle w:val="3"/>
        <w:adjustRightInd/>
        <w:jc w:val="both"/>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二、申请人资格要求</w:t>
      </w:r>
    </w:p>
    <w:p w14:paraId="531DDF57">
      <w:pPr>
        <w:spacing w:line="360" w:lineRule="auto"/>
        <w:rPr>
          <w:rFonts w:ascii="宋体" w:hAnsi="宋体" w:cs="宋体"/>
          <w:sz w:val="22"/>
          <w:highlight w:val="none"/>
        </w:rPr>
      </w:pPr>
      <w:r>
        <w:rPr>
          <w:rFonts w:hint="eastAsia" w:ascii="宋体" w:hAnsi="宋体" w:cs="宋体"/>
          <w:sz w:val="22"/>
          <w:highlight w:val="none"/>
        </w:rPr>
        <w:t>1、满足《中华人民共和国政府采购法》第二十二条规定</w:t>
      </w:r>
      <w:r>
        <w:rPr>
          <w:rFonts w:hint="eastAsia" w:ascii="宋体" w:hAnsi="宋体" w:cs="宋体"/>
          <w:b/>
          <w:bCs/>
          <w:sz w:val="22"/>
          <w:highlight w:val="none"/>
        </w:rPr>
        <w:t>（须提供具有独立承担民事责任能力的法人或其他组织的营业执照等证明材料复印件或扫描件以及《政府采购投标及履约承诺函》加盖投标人公章）</w:t>
      </w:r>
      <w:r>
        <w:rPr>
          <w:rFonts w:hint="eastAsia" w:ascii="宋体" w:hAnsi="宋体" w:cs="宋体"/>
          <w:sz w:val="22"/>
          <w:highlight w:val="none"/>
        </w:rPr>
        <w:t>。以分公司名义参与投标的，须提供总公司出具的愿为其参与本项目投标以及履约等行为承担民事责任的加盖总公司公章的授权函，并提供总公司及分公司的营业执照复印件或扫描件加盖投标人公章，原件备查；不接受总公司授权两家或以上分公司同时参与本项目投标，也不接受总公司与分公司同时参与本项目投标，如出现上述情形，该两家或以上供应商的投标文件均按无效投标处理）；</w:t>
      </w:r>
    </w:p>
    <w:p w14:paraId="110BB18B">
      <w:pPr>
        <w:spacing w:line="360" w:lineRule="auto"/>
        <w:rPr>
          <w:rFonts w:ascii="宋体" w:hAnsi="宋体" w:cs="宋体"/>
          <w:sz w:val="22"/>
          <w:highlight w:val="none"/>
        </w:rPr>
      </w:pPr>
      <w:r>
        <w:rPr>
          <w:rFonts w:hint="eastAsia" w:ascii="宋体" w:hAnsi="宋体" w:cs="宋体"/>
          <w:sz w:val="22"/>
          <w:highlight w:val="none"/>
        </w:rPr>
        <w:t>2、落实政府采购政策需满足的资格要求：</w:t>
      </w:r>
      <w:r>
        <w:rPr>
          <w:rFonts w:hint="eastAsia" w:ascii="宋体" w:hAnsi="宋体" w:eastAsia="宋体" w:cs="宋体"/>
          <w:b/>
          <w:bCs w:val="0"/>
          <w:color w:val="auto"/>
          <w:sz w:val="22"/>
          <w:szCs w:val="22"/>
          <w:highlight w:val="none"/>
        </w:rPr>
        <w:t>本项目属于</w:t>
      </w:r>
      <w:r>
        <w:rPr>
          <w:rFonts w:hint="eastAsia" w:ascii="宋体" w:hAnsi="宋体" w:cs="宋体"/>
          <w:b/>
          <w:bCs w:val="0"/>
          <w:color w:val="auto"/>
          <w:sz w:val="22"/>
          <w:szCs w:val="22"/>
          <w:highlight w:val="none"/>
          <w:lang w:eastAsia="zh-CN"/>
        </w:rPr>
        <w:t>专门面向中小</w:t>
      </w:r>
      <w:r>
        <w:rPr>
          <w:rFonts w:hint="eastAsia" w:ascii="宋体" w:hAnsi="宋体" w:eastAsia="宋体" w:cs="宋体"/>
          <w:b/>
          <w:bCs w:val="0"/>
          <w:color w:val="auto"/>
          <w:sz w:val="22"/>
          <w:szCs w:val="22"/>
          <w:highlight w:val="none"/>
        </w:rPr>
        <w:t>企业采购的项目</w:t>
      </w:r>
      <w:r>
        <w:rPr>
          <w:rFonts w:hint="eastAsia" w:ascii="宋体" w:hAnsi="宋体" w:cs="宋体"/>
          <w:b/>
          <w:bCs w:val="0"/>
          <w:color w:val="auto"/>
          <w:sz w:val="22"/>
          <w:szCs w:val="22"/>
          <w:highlight w:val="none"/>
          <w:lang w:eastAsia="zh-CN"/>
        </w:rPr>
        <w:t>（须提供中小企业声明函）</w:t>
      </w:r>
      <w:r>
        <w:rPr>
          <w:rFonts w:hint="eastAsia" w:ascii="宋体" w:hAnsi="宋体" w:cs="宋体"/>
          <w:sz w:val="22"/>
          <w:highlight w:val="none"/>
        </w:rPr>
        <w:t>；</w:t>
      </w:r>
    </w:p>
    <w:p w14:paraId="0EF1AF98">
      <w:pPr>
        <w:spacing w:line="360" w:lineRule="auto"/>
        <w:rPr>
          <w:rFonts w:ascii="宋体" w:hAnsi="宋体" w:cs="宋体"/>
          <w:sz w:val="22"/>
          <w:highlight w:val="none"/>
        </w:rPr>
      </w:pPr>
      <w:r>
        <w:rPr>
          <w:rFonts w:hint="eastAsia" w:ascii="宋体" w:hAnsi="宋体" w:cs="宋体"/>
          <w:sz w:val="22"/>
          <w:highlight w:val="none"/>
        </w:rPr>
        <w:t>3、本项目的特定资格要求：</w:t>
      </w:r>
    </w:p>
    <w:p w14:paraId="1E228A2D">
      <w:pPr>
        <w:numPr>
          <w:ilvl w:val="0"/>
          <w:numId w:val="0"/>
        </w:numPr>
        <w:spacing w:line="360" w:lineRule="auto"/>
        <w:ind w:left="425" w:leftChars="0" w:hanging="425" w:firstLineChars="0"/>
        <w:rPr>
          <w:rFonts w:ascii="宋体" w:hAnsi="宋体" w:cs="宋体"/>
          <w:sz w:val="22"/>
          <w:highlight w:val="none"/>
        </w:rPr>
      </w:pPr>
      <w:r>
        <w:rPr>
          <w:rFonts w:hint="default" w:ascii="宋体" w:hAnsi="宋体" w:eastAsia="宋体" w:cs="宋体"/>
          <w:kern w:val="2"/>
          <w:sz w:val="22"/>
          <w:szCs w:val="24"/>
          <w:highlight w:val="none"/>
          <w:lang w:val="en-US" w:eastAsia="zh-CN" w:bidi="ar-SA"/>
        </w:rPr>
        <w:t>(1)</w:t>
      </w:r>
      <w:r>
        <w:rPr>
          <w:rFonts w:hint="eastAsia" w:ascii="宋体" w:hAnsi="宋体" w:cs="宋体"/>
          <w:sz w:val="22"/>
          <w:highlight w:val="none"/>
        </w:rPr>
        <w:t>参与本项目投标前三年内，在经营活动中没有重大违法记录</w:t>
      </w:r>
      <w:r>
        <w:rPr>
          <w:rFonts w:hint="eastAsia" w:ascii="宋体" w:hAnsi="宋体" w:cs="宋体"/>
          <w:b/>
          <w:bCs/>
          <w:sz w:val="22"/>
          <w:highlight w:val="none"/>
        </w:rPr>
        <w:t>（须按本项目投标文件格式要求提供《政府采购投标及履约承诺函》加盖投标人公章）</w:t>
      </w:r>
      <w:r>
        <w:rPr>
          <w:rFonts w:hint="eastAsia" w:ascii="宋体" w:hAnsi="宋体" w:cs="宋体"/>
          <w:sz w:val="22"/>
          <w:highlight w:val="none"/>
        </w:rPr>
        <w:t>；</w:t>
      </w:r>
    </w:p>
    <w:p w14:paraId="2ACC018C">
      <w:pPr>
        <w:numPr>
          <w:ilvl w:val="0"/>
          <w:numId w:val="0"/>
        </w:numPr>
        <w:spacing w:line="360" w:lineRule="auto"/>
        <w:ind w:left="425" w:leftChars="0" w:hanging="425" w:firstLineChars="0"/>
        <w:rPr>
          <w:rFonts w:ascii="宋体" w:hAnsi="宋体" w:cs="宋体"/>
          <w:sz w:val="22"/>
          <w:highlight w:val="none"/>
        </w:rPr>
      </w:pPr>
      <w:r>
        <w:rPr>
          <w:rFonts w:hint="default" w:ascii="宋体" w:hAnsi="宋体" w:eastAsia="宋体" w:cs="宋体"/>
          <w:kern w:val="2"/>
          <w:sz w:val="22"/>
          <w:szCs w:val="24"/>
          <w:highlight w:val="none"/>
          <w:lang w:val="en-US" w:eastAsia="zh-CN" w:bidi="ar-SA"/>
        </w:rPr>
        <w:t>(2)</w:t>
      </w:r>
      <w:r>
        <w:rPr>
          <w:rFonts w:hint="eastAsia" w:ascii="宋体" w:hAnsi="宋体" w:cs="宋体"/>
          <w:sz w:val="22"/>
          <w:highlight w:val="none"/>
        </w:rPr>
        <w:t>参与本项目政府采购活动时不存在被有关部门禁止参与政府采购活动且在有效期内的情况</w:t>
      </w:r>
      <w:r>
        <w:rPr>
          <w:rFonts w:hint="eastAsia" w:ascii="宋体" w:hAnsi="宋体" w:cs="宋体"/>
          <w:b/>
          <w:bCs/>
          <w:sz w:val="22"/>
          <w:highlight w:val="none"/>
        </w:rPr>
        <w:t>（须按本项目投标文件格式要求提供《政府采购投标及履约承诺函》加盖投标人公章）</w:t>
      </w:r>
      <w:r>
        <w:rPr>
          <w:rFonts w:hint="eastAsia" w:ascii="宋体" w:hAnsi="宋体" w:cs="宋体"/>
          <w:sz w:val="22"/>
          <w:highlight w:val="none"/>
        </w:rPr>
        <w:t>；</w:t>
      </w:r>
    </w:p>
    <w:p w14:paraId="24B93F07">
      <w:pPr>
        <w:numPr>
          <w:ilvl w:val="0"/>
          <w:numId w:val="0"/>
        </w:numPr>
        <w:spacing w:line="360" w:lineRule="auto"/>
        <w:ind w:left="425" w:leftChars="0" w:hanging="425" w:firstLineChars="0"/>
        <w:rPr>
          <w:rFonts w:ascii="宋体" w:hAnsi="宋体" w:cs="宋体"/>
          <w:sz w:val="22"/>
          <w:highlight w:val="none"/>
        </w:rPr>
      </w:pPr>
      <w:r>
        <w:rPr>
          <w:rFonts w:hint="default" w:ascii="宋体" w:hAnsi="宋体" w:eastAsia="宋体" w:cs="宋体"/>
          <w:kern w:val="2"/>
          <w:sz w:val="22"/>
          <w:szCs w:val="24"/>
          <w:highlight w:val="none"/>
          <w:lang w:val="en-US" w:eastAsia="zh-CN" w:bidi="ar-SA"/>
        </w:rPr>
        <w:t>(3)</w:t>
      </w:r>
      <w:r>
        <w:rPr>
          <w:rFonts w:hint="eastAsia" w:ascii="宋体" w:hAnsi="宋体" w:cs="宋体"/>
          <w:sz w:val="22"/>
          <w:highlight w:val="none"/>
        </w:rPr>
        <w:t>单位负责人为同一人或者存在直接控股、管理关系的不同供应商，不得参加同一合同项下的政府采购活动</w:t>
      </w:r>
      <w:r>
        <w:rPr>
          <w:rFonts w:hint="eastAsia" w:ascii="宋体" w:hAnsi="宋体" w:cs="宋体"/>
          <w:b/>
          <w:bCs/>
          <w:sz w:val="22"/>
          <w:highlight w:val="none"/>
        </w:rPr>
        <w:t>（须按本项目投标文件格式要求提供《政府采购投标及履约承诺函》加盖投标人公章）</w:t>
      </w:r>
      <w:r>
        <w:rPr>
          <w:rFonts w:hint="eastAsia" w:ascii="宋体" w:hAnsi="宋体" w:cs="宋体"/>
          <w:sz w:val="22"/>
          <w:highlight w:val="none"/>
        </w:rPr>
        <w:t>；</w:t>
      </w:r>
    </w:p>
    <w:p w14:paraId="71B23FCC">
      <w:pPr>
        <w:numPr>
          <w:ilvl w:val="0"/>
          <w:numId w:val="0"/>
        </w:numPr>
        <w:spacing w:line="360" w:lineRule="auto"/>
        <w:ind w:left="425" w:leftChars="0" w:hanging="425" w:firstLineChars="0"/>
        <w:rPr>
          <w:rFonts w:ascii="宋体" w:hAnsi="宋体" w:cs="宋体"/>
          <w:sz w:val="22"/>
          <w:highlight w:val="none"/>
        </w:rPr>
      </w:pPr>
      <w:r>
        <w:rPr>
          <w:rFonts w:hint="default" w:ascii="宋体" w:hAnsi="宋体" w:eastAsia="宋体" w:cs="宋体"/>
          <w:kern w:val="2"/>
          <w:sz w:val="22"/>
          <w:szCs w:val="24"/>
          <w:highlight w:val="none"/>
          <w:lang w:val="en-US" w:eastAsia="zh-CN" w:bidi="ar-SA"/>
        </w:rPr>
        <w:t>(4)</w:t>
      </w:r>
      <w:r>
        <w:rPr>
          <w:rFonts w:hint="eastAsia" w:ascii="宋体" w:hAnsi="宋体" w:cs="宋体"/>
          <w:sz w:val="22"/>
          <w:highlight w:val="none"/>
        </w:rPr>
        <w:t>除单一来源采购项目外，为采购项目提供整体设计、规范编制或者项目管理、监理、检测等服务的供应商，不得再参加该采购项目的其他采购活动</w:t>
      </w:r>
      <w:r>
        <w:rPr>
          <w:rFonts w:hint="eastAsia" w:ascii="宋体" w:hAnsi="宋体" w:cs="宋体"/>
          <w:b/>
          <w:bCs/>
          <w:sz w:val="22"/>
          <w:highlight w:val="none"/>
        </w:rPr>
        <w:t>（须按本项目投标文件格式要求提供《政府采购投标及履约承诺函》加盖投标人公章）</w:t>
      </w:r>
      <w:r>
        <w:rPr>
          <w:rFonts w:hint="eastAsia" w:ascii="宋体" w:hAnsi="宋体" w:cs="宋体"/>
          <w:sz w:val="22"/>
          <w:highlight w:val="none"/>
        </w:rPr>
        <w:t>；</w:t>
      </w:r>
    </w:p>
    <w:p w14:paraId="35E7AE24">
      <w:pPr>
        <w:numPr>
          <w:ilvl w:val="0"/>
          <w:numId w:val="0"/>
        </w:numPr>
        <w:spacing w:line="360" w:lineRule="auto"/>
        <w:ind w:left="425" w:leftChars="0" w:hanging="425" w:firstLineChars="0"/>
        <w:rPr>
          <w:rFonts w:ascii="宋体" w:hAnsi="宋体" w:cs="宋体"/>
          <w:sz w:val="22"/>
          <w:highlight w:val="none"/>
        </w:rPr>
      </w:pPr>
      <w:r>
        <w:rPr>
          <w:rFonts w:hint="default" w:ascii="宋体" w:hAnsi="宋体" w:eastAsia="宋体" w:cs="宋体"/>
          <w:kern w:val="2"/>
          <w:sz w:val="22"/>
          <w:szCs w:val="24"/>
          <w:highlight w:val="none"/>
          <w:lang w:val="en-US" w:eastAsia="zh-CN" w:bidi="ar-SA"/>
        </w:rPr>
        <w:t>(5)</w:t>
      </w:r>
      <w:r>
        <w:rPr>
          <w:rFonts w:hint="eastAsia" w:ascii="宋体" w:hAnsi="宋体" w:cs="宋体"/>
          <w:sz w:val="22"/>
          <w:highlight w:val="none"/>
        </w:rPr>
        <w:t>投标人未被列入失信被执行人、重大税收违法案件当事人名单及政府采购严重违法失信行为记录名单（“信用中国”（www.creditchina.gov.cn）“信用服务”栏的“重大税收违法失信主体”“失信被执行人”，“中国政府采购”（www.ccgp.gov.cn）“政府采购严重违法失信行为记录名单”以及“深圳市政府采购监管网”（zfcg.sz.gov.cn）为投标人信用信息查询渠道，相关信息以开标当日的查询结果为准。由采购代理机构查询，投标人无需提供证明材料）；</w:t>
      </w:r>
    </w:p>
    <w:p w14:paraId="4D940783">
      <w:pPr>
        <w:numPr>
          <w:ilvl w:val="0"/>
          <w:numId w:val="0"/>
        </w:numPr>
        <w:spacing w:line="360" w:lineRule="auto"/>
        <w:ind w:left="425" w:leftChars="0" w:hanging="425" w:firstLineChars="0"/>
        <w:rPr>
          <w:rFonts w:ascii="宋体" w:hAnsi="宋体" w:cs="宋体"/>
          <w:b/>
          <w:bCs/>
          <w:sz w:val="22"/>
          <w:highlight w:val="none"/>
        </w:rPr>
      </w:pPr>
      <w:r>
        <w:rPr>
          <w:rFonts w:hint="default" w:ascii="宋体" w:hAnsi="宋体" w:eastAsia="宋体" w:cs="宋体"/>
          <w:kern w:val="2"/>
          <w:sz w:val="22"/>
          <w:szCs w:val="24"/>
          <w:highlight w:val="none"/>
          <w:lang w:val="en-US" w:eastAsia="zh-CN" w:bidi="ar-SA"/>
        </w:rPr>
        <w:t>(6)</w:t>
      </w:r>
      <w:r>
        <w:rPr>
          <w:rFonts w:hint="eastAsia" w:ascii="宋体" w:hAnsi="宋体" w:cs="宋体"/>
          <w:b/>
          <w:bCs/>
          <w:sz w:val="22"/>
          <w:highlight w:val="none"/>
        </w:rPr>
        <w:t>投标人须提供国家企业信用信息公示系统（https://www.gsxt.gov.cn/index.html）或机关赋码和事业单位登记管理网（http://www.gjsy.gov.cn/sydwfrxxcx/）或全国社会组织信用信息公示平台（https://xxgs.chinanpo.mca.gov.cn/gsxt/newList）网站截图，作为不同供应商之间不存在单位负责人为同一人或者直接控股、管理关系的补充证明；</w:t>
      </w:r>
    </w:p>
    <w:p w14:paraId="3F1CE654">
      <w:pPr>
        <w:numPr>
          <w:ilvl w:val="0"/>
          <w:numId w:val="0"/>
        </w:numPr>
        <w:spacing w:line="360" w:lineRule="auto"/>
        <w:ind w:left="425" w:leftChars="0" w:hanging="425" w:firstLineChars="0"/>
        <w:rPr>
          <w:rFonts w:ascii="宋体" w:hAnsi="宋体" w:cs="宋体"/>
          <w:sz w:val="22"/>
          <w:highlight w:val="none"/>
        </w:rPr>
      </w:pPr>
      <w:r>
        <w:rPr>
          <w:rFonts w:hint="default" w:ascii="宋体" w:hAnsi="宋体" w:eastAsia="宋体" w:cs="宋体"/>
          <w:kern w:val="2"/>
          <w:sz w:val="22"/>
          <w:szCs w:val="24"/>
          <w:highlight w:val="none"/>
          <w:lang w:val="en-US" w:eastAsia="zh-CN" w:bidi="ar-SA"/>
        </w:rPr>
        <w:t>(7)</w:t>
      </w:r>
      <w:r>
        <w:rPr>
          <w:rFonts w:hint="eastAsia" w:ascii="宋体" w:hAnsi="宋体" w:cs="宋体"/>
          <w:sz w:val="22"/>
          <w:highlight w:val="none"/>
        </w:rPr>
        <w:t>本项目不接受联合体投标，不允许分包或转包；</w:t>
      </w:r>
    </w:p>
    <w:p w14:paraId="5F95DCCB">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cs="宋体"/>
          <w:sz w:val="22"/>
          <w:highlight w:val="none"/>
        </w:rPr>
      </w:pPr>
      <w:r>
        <w:rPr>
          <w:rFonts w:hint="default" w:ascii="宋体" w:hAnsi="宋体" w:eastAsia="宋体" w:cs="宋体"/>
          <w:color w:val="auto"/>
          <w:kern w:val="2"/>
          <w:sz w:val="22"/>
          <w:szCs w:val="22"/>
          <w:highlight w:val="none"/>
          <w:lang w:val="en-US" w:eastAsia="zh-CN" w:bidi="ar-SA"/>
        </w:rPr>
        <w:t>(</w:t>
      </w:r>
      <w:r>
        <w:rPr>
          <w:rFonts w:hint="eastAsia" w:ascii="宋体" w:hAnsi="宋体" w:cs="宋体"/>
          <w:color w:val="auto"/>
          <w:kern w:val="2"/>
          <w:sz w:val="22"/>
          <w:szCs w:val="22"/>
          <w:highlight w:val="none"/>
          <w:lang w:val="en-US" w:eastAsia="zh-CN" w:bidi="ar-SA"/>
        </w:rPr>
        <w:t>8</w:t>
      </w:r>
      <w:r>
        <w:rPr>
          <w:rFonts w:hint="default" w:ascii="宋体" w:hAnsi="宋体" w:eastAsia="宋体" w:cs="宋体"/>
          <w:color w:val="auto"/>
          <w:kern w:val="2"/>
          <w:sz w:val="22"/>
          <w:szCs w:val="22"/>
          <w:highlight w:val="none"/>
          <w:lang w:val="en-US" w:eastAsia="zh-CN" w:bidi="ar-SA"/>
        </w:rPr>
        <w:t>)</w:t>
      </w:r>
      <w:r>
        <w:rPr>
          <w:rFonts w:hint="eastAsia" w:ascii="宋体" w:hAnsi="宋体" w:cs="宋体"/>
          <w:sz w:val="22"/>
          <w:highlight w:val="none"/>
        </w:rPr>
        <w:t>本项目不接受进口产品投标（进口产品是指通过中国海关报关验放进入中国境内且产自关境外的产品，相关内容以“财库【2007】119号文”和“财办库【2008】248号文”的相关规定为准）。</w:t>
      </w:r>
    </w:p>
    <w:p w14:paraId="73BE6779">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0" w:firstLineChars="0"/>
        <w:textAlignment w:val="auto"/>
        <w:rPr>
          <w:highlight w:val="yellow"/>
        </w:rPr>
      </w:pPr>
      <w:r>
        <w:rPr>
          <w:rFonts w:hint="eastAsia" w:ascii="宋体" w:hAnsi="宋体" w:cs="宋体"/>
          <w:b/>
          <w:bCs/>
          <w:color w:val="auto"/>
          <w:kern w:val="2"/>
          <w:sz w:val="22"/>
          <w:szCs w:val="22"/>
          <w:highlight w:val="yellow"/>
          <w:lang w:val="en-US" w:eastAsia="zh-CN" w:bidi="ar-SA"/>
        </w:rPr>
        <w:t>(</w:t>
      </w:r>
      <w:r>
        <w:rPr>
          <w:rFonts w:hint="eastAsia" w:ascii="宋体" w:hAnsi="宋体" w:eastAsia="宋体" w:cs="宋体"/>
          <w:b/>
          <w:bCs/>
          <w:color w:val="auto"/>
          <w:kern w:val="2"/>
          <w:sz w:val="22"/>
          <w:szCs w:val="22"/>
          <w:highlight w:val="yellow"/>
          <w:lang w:val="en-US" w:eastAsia="zh-CN" w:bidi="ar-SA"/>
        </w:rPr>
        <w:t>9)投标人须具备食品药品监督管理部门（或市场监督管理部门）颁发的《食品经营许可证》（提供有效的证明扫描件，原件备查）。</w:t>
      </w:r>
    </w:p>
    <w:p w14:paraId="46EE2919">
      <w:pPr>
        <w:pStyle w:val="10"/>
      </w:pPr>
    </w:p>
    <w:p w14:paraId="42189380">
      <w:pPr>
        <w:numPr>
          <w:ilvl w:val="0"/>
          <w:numId w:val="0"/>
        </w:numPr>
        <w:spacing w:line="360" w:lineRule="auto"/>
        <w:ind w:left="0" w:leftChars="0" w:firstLine="442" w:firstLineChars="200"/>
        <w:rPr>
          <w:rFonts w:hint="eastAsia" w:ascii="宋体" w:hAnsi="宋体" w:cs="宋体"/>
          <w:b/>
          <w:bCs/>
          <w:color w:val="FF0000"/>
          <w:sz w:val="22"/>
        </w:rPr>
      </w:pPr>
      <w:r>
        <w:rPr>
          <w:rFonts w:hint="eastAsia" w:ascii="宋体" w:hAnsi="宋体" w:cs="宋体"/>
          <w:b/>
          <w:bCs/>
          <w:color w:val="FF0000"/>
          <w:sz w:val="22"/>
        </w:rPr>
        <w:t>注：按深圳政府采购自行采购系统操作要求，供应商需先行办理注册手续，注册网址为：https://trade.szggzy.com/ggzy/center/#/register。</w:t>
      </w:r>
    </w:p>
    <w:p w14:paraId="3ECB01B0">
      <w:pPr>
        <w:rPr>
          <w:rFonts w:hint="default"/>
          <w:lang w:val="en-US" w:eastAsia="zh-CN"/>
        </w:rPr>
      </w:pPr>
    </w:p>
    <w:p w14:paraId="173D08F0">
      <w:pPr>
        <w:snapToGrid w:val="0"/>
        <w:spacing w:line="360" w:lineRule="auto"/>
        <w:outlineLvl w:val="1"/>
        <w:rPr>
          <w:rFonts w:ascii="宋体" w:hAnsi="宋体" w:cs="宋体"/>
          <w:b/>
          <w:color w:val="000000" w:themeColor="text1"/>
          <w:kern w:val="0"/>
          <w:sz w:val="22"/>
          <w:szCs w:val="22"/>
          <w:highlight w:val="none"/>
          <w14:textFill>
            <w14:solidFill>
              <w14:schemeClr w14:val="tx1"/>
            </w14:solidFill>
          </w14:textFill>
        </w:rPr>
      </w:pPr>
      <w:r>
        <w:rPr>
          <w:rFonts w:hint="eastAsia" w:ascii="宋体" w:hAnsi="宋体" w:cs="宋体"/>
          <w:b/>
          <w:color w:val="000000" w:themeColor="text1"/>
          <w:kern w:val="0"/>
          <w:sz w:val="22"/>
          <w:szCs w:val="22"/>
          <w:highlight w:val="none"/>
          <w14:textFill>
            <w14:solidFill>
              <w14:schemeClr w14:val="tx1"/>
            </w14:solidFill>
          </w14:textFill>
        </w:rPr>
        <w:t>三、获取招标文件</w:t>
      </w:r>
    </w:p>
    <w:p w14:paraId="300DA169">
      <w:pPr>
        <w:numPr>
          <w:ilvl w:val="0"/>
          <w:numId w:val="0"/>
        </w:numPr>
        <w:spacing w:line="360" w:lineRule="auto"/>
        <w:ind w:left="0" w:leftChars="0" w:firstLine="0" w:firstLineChars="0"/>
        <w:rPr>
          <w:rFonts w:ascii="宋体" w:hAnsi="宋体" w:cs="宋体"/>
          <w:color w:val="000000" w:themeColor="text1"/>
          <w:sz w:val="22"/>
          <w:szCs w:val="22"/>
          <w:highlight w:val="none"/>
          <w14:textFill>
            <w14:solidFill>
              <w14:schemeClr w14:val="tx1"/>
            </w14:solidFill>
          </w14:textFill>
        </w:rPr>
      </w:pPr>
      <w:r>
        <w:rPr>
          <w:rFonts w:hint="default" w:ascii="宋体" w:hAnsi="宋体" w:eastAsia="宋体" w:cs="宋体"/>
          <w:color w:val="000000" w:themeColor="text1"/>
          <w:kern w:val="2"/>
          <w:sz w:val="22"/>
          <w:szCs w:val="22"/>
          <w:highlight w:val="none"/>
          <w:lang w:val="en-US" w:eastAsia="zh-CN" w:bidi="ar-SA"/>
          <w14:textFill>
            <w14:solidFill>
              <w14:schemeClr w14:val="tx1"/>
            </w14:solidFill>
          </w14:textFill>
        </w:rPr>
        <w:t>1．</w:t>
      </w:r>
      <w:r>
        <w:rPr>
          <w:rFonts w:hint="eastAsia" w:ascii="宋体" w:hAnsi="宋体" w:cs="宋体"/>
          <w:color w:val="000000" w:themeColor="text1"/>
          <w:sz w:val="22"/>
          <w:szCs w:val="22"/>
          <w:highlight w:val="none"/>
          <w14:textFill>
            <w14:solidFill>
              <w14:schemeClr w14:val="tx1"/>
            </w14:solidFill>
          </w14:textFill>
        </w:rPr>
        <w:t>时间：</w:t>
      </w:r>
      <w:r>
        <w:rPr>
          <w:rFonts w:hint="eastAsia" w:ascii="宋体" w:hAnsi="宋体" w:cs="宋体"/>
          <w:color w:val="FF0000"/>
          <w:sz w:val="22"/>
          <w:szCs w:val="22"/>
          <w:highlight w:val="none"/>
          <w:lang w:eastAsia="zh-CN"/>
        </w:rPr>
        <w:t>2025</w:t>
      </w:r>
      <w:r>
        <w:rPr>
          <w:rFonts w:hint="eastAsia" w:ascii="宋体" w:hAnsi="宋体" w:cs="宋体"/>
          <w:color w:val="FF0000"/>
          <w:sz w:val="22"/>
          <w:szCs w:val="22"/>
          <w:highlight w:val="none"/>
        </w:rPr>
        <w:t>年</w:t>
      </w:r>
      <w:r>
        <w:rPr>
          <w:rFonts w:hint="eastAsia" w:ascii="宋体" w:hAnsi="宋体" w:eastAsia="宋体" w:cs="宋体"/>
          <w:b/>
          <w:bCs/>
          <w:color w:val="FF0000"/>
          <w:sz w:val="24"/>
          <w:szCs w:val="24"/>
          <w:highlight w:val="none"/>
        </w:rPr>
        <w:t>*</w:t>
      </w:r>
      <w:r>
        <w:rPr>
          <w:rFonts w:hint="eastAsia" w:ascii="宋体" w:hAnsi="宋体" w:cs="宋体"/>
          <w:color w:val="FF0000"/>
          <w:sz w:val="22"/>
          <w:szCs w:val="22"/>
          <w:highlight w:val="none"/>
        </w:rPr>
        <w:t>月</w:t>
      </w:r>
      <w:r>
        <w:rPr>
          <w:rFonts w:hint="eastAsia" w:ascii="宋体" w:hAnsi="宋体" w:eastAsia="宋体" w:cs="宋体"/>
          <w:b/>
          <w:bCs/>
          <w:color w:val="FF0000"/>
          <w:sz w:val="24"/>
          <w:szCs w:val="24"/>
          <w:highlight w:val="none"/>
        </w:rPr>
        <w:t>*</w:t>
      </w:r>
      <w:r>
        <w:rPr>
          <w:rFonts w:hint="eastAsia" w:ascii="宋体" w:hAnsi="宋体" w:cs="宋体"/>
          <w:color w:val="FF0000"/>
          <w:sz w:val="22"/>
          <w:szCs w:val="22"/>
          <w:highlight w:val="none"/>
        </w:rPr>
        <w:t>日至</w:t>
      </w:r>
      <w:r>
        <w:rPr>
          <w:rFonts w:hint="eastAsia" w:ascii="宋体" w:hAnsi="宋体" w:cs="宋体"/>
          <w:color w:val="FF0000"/>
          <w:sz w:val="22"/>
          <w:szCs w:val="22"/>
          <w:highlight w:val="none"/>
          <w:lang w:eastAsia="zh-CN"/>
        </w:rPr>
        <w:t>2025</w:t>
      </w:r>
      <w:r>
        <w:rPr>
          <w:rFonts w:hint="eastAsia" w:ascii="宋体" w:hAnsi="宋体" w:cs="宋体"/>
          <w:color w:val="FF0000"/>
          <w:sz w:val="22"/>
          <w:szCs w:val="22"/>
          <w:highlight w:val="none"/>
        </w:rPr>
        <w:t>年</w:t>
      </w:r>
      <w:r>
        <w:rPr>
          <w:rFonts w:hint="eastAsia" w:ascii="宋体" w:hAnsi="宋体" w:eastAsia="宋体" w:cs="宋体"/>
          <w:b/>
          <w:bCs/>
          <w:color w:val="FF0000"/>
          <w:sz w:val="24"/>
          <w:szCs w:val="24"/>
          <w:highlight w:val="none"/>
        </w:rPr>
        <w:t>*</w:t>
      </w:r>
      <w:r>
        <w:rPr>
          <w:rFonts w:hint="eastAsia" w:ascii="宋体" w:hAnsi="宋体" w:cs="宋体"/>
          <w:color w:val="FF0000"/>
          <w:sz w:val="22"/>
          <w:szCs w:val="22"/>
          <w:highlight w:val="none"/>
        </w:rPr>
        <w:t>月</w:t>
      </w:r>
      <w:r>
        <w:rPr>
          <w:rFonts w:hint="eastAsia" w:ascii="宋体" w:hAnsi="宋体" w:eastAsia="宋体" w:cs="宋体"/>
          <w:b/>
          <w:bCs/>
          <w:color w:val="FF0000"/>
          <w:sz w:val="24"/>
          <w:szCs w:val="24"/>
          <w:highlight w:val="none"/>
        </w:rPr>
        <w:t>*</w:t>
      </w:r>
      <w:r>
        <w:rPr>
          <w:rFonts w:hint="eastAsia" w:ascii="宋体" w:hAnsi="宋体" w:cs="宋体"/>
          <w:color w:val="FF0000"/>
          <w:sz w:val="22"/>
          <w:szCs w:val="22"/>
          <w:highlight w:val="none"/>
        </w:rPr>
        <w:t>日</w:t>
      </w:r>
      <w:r>
        <w:rPr>
          <w:rFonts w:hint="eastAsia" w:ascii="宋体" w:hAnsi="宋体" w:cs="宋体"/>
          <w:color w:val="000000" w:themeColor="text1"/>
          <w:sz w:val="22"/>
          <w:szCs w:val="22"/>
          <w:highlight w:val="none"/>
          <w14:textFill>
            <w14:solidFill>
              <w14:schemeClr w14:val="tx1"/>
            </w14:solidFill>
          </w14:textFill>
        </w:rPr>
        <w:t>，每天上午09:00至12:00，下午14:30至17:30（北京时间，法定节假日除外）</w:t>
      </w:r>
    </w:p>
    <w:p w14:paraId="4DA6EE9E">
      <w:pPr>
        <w:numPr>
          <w:ilvl w:val="0"/>
          <w:numId w:val="0"/>
        </w:numPr>
        <w:spacing w:line="360" w:lineRule="auto"/>
        <w:ind w:left="0" w:leftChars="0" w:firstLine="0" w:firstLineChars="0"/>
        <w:rPr>
          <w:rFonts w:ascii="宋体" w:hAnsi="宋体" w:cs="宋体"/>
          <w:color w:val="000000" w:themeColor="text1"/>
          <w:sz w:val="22"/>
          <w:szCs w:val="22"/>
          <w:highlight w:val="none"/>
          <w14:textFill>
            <w14:solidFill>
              <w14:schemeClr w14:val="tx1"/>
            </w14:solidFill>
          </w14:textFill>
        </w:rPr>
      </w:pPr>
      <w:r>
        <w:rPr>
          <w:rFonts w:hint="default" w:ascii="宋体" w:hAnsi="宋体" w:eastAsia="宋体" w:cs="宋体"/>
          <w:color w:val="000000" w:themeColor="text1"/>
          <w:kern w:val="2"/>
          <w:sz w:val="22"/>
          <w:szCs w:val="22"/>
          <w:highlight w:val="none"/>
          <w:lang w:val="en-US" w:eastAsia="zh-CN" w:bidi="ar-SA"/>
          <w14:textFill>
            <w14:solidFill>
              <w14:schemeClr w14:val="tx1"/>
            </w14:solidFill>
          </w14:textFill>
        </w:rPr>
        <w:t>2．</w:t>
      </w:r>
      <w:r>
        <w:rPr>
          <w:rFonts w:hint="eastAsia" w:ascii="宋体" w:hAnsi="宋体" w:cs="宋体"/>
          <w:color w:val="000000" w:themeColor="text1"/>
          <w:sz w:val="22"/>
          <w:szCs w:val="22"/>
          <w:highlight w:val="none"/>
          <w14:textFill>
            <w14:solidFill>
              <w14:schemeClr w14:val="tx1"/>
            </w14:solidFill>
          </w14:textFill>
        </w:rPr>
        <w:t>地点：深圳市罗湖区太宁路2号百仕达大厦27B</w:t>
      </w:r>
    </w:p>
    <w:p w14:paraId="1FD8F066">
      <w:pPr>
        <w:numPr>
          <w:ilvl w:val="0"/>
          <w:numId w:val="0"/>
        </w:numPr>
        <w:spacing w:line="360" w:lineRule="auto"/>
        <w:ind w:left="0" w:leftChars="0" w:firstLine="0" w:firstLineChars="0"/>
        <w:rPr>
          <w:rFonts w:ascii="宋体" w:hAnsi="宋体" w:cs="宋体"/>
          <w:bCs/>
          <w:color w:val="000000" w:themeColor="text1"/>
          <w:sz w:val="22"/>
          <w:szCs w:val="22"/>
          <w:highlight w:val="none"/>
          <w14:textFill>
            <w14:solidFill>
              <w14:schemeClr w14:val="tx1"/>
            </w14:solidFill>
          </w14:textFill>
        </w:rPr>
      </w:pPr>
      <w:r>
        <w:rPr>
          <w:rFonts w:hint="default" w:ascii="宋体" w:hAnsi="宋体" w:eastAsia="宋体" w:cs="宋体"/>
          <w:bCs/>
          <w:color w:val="000000" w:themeColor="text1"/>
          <w:kern w:val="2"/>
          <w:sz w:val="22"/>
          <w:szCs w:val="22"/>
          <w:highlight w:val="none"/>
          <w:lang w:val="en-US" w:eastAsia="zh-CN" w:bidi="ar-SA"/>
          <w14:textFill>
            <w14:solidFill>
              <w14:schemeClr w14:val="tx1"/>
            </w14:solidFill>
          </w14:textFill>
        </w:rPr>
        <w:t>3．</w:t>
      </w:r>
      <w:r>
        <w:rPr>
          <w:rFonts w:hint="eastAsia" w:ascii="宋体" w:hAnsi="宋体" w:cs="宋体"/>
          <w:color w:val="000000" w:themeColor="text1"/>
          <w:sz w:val="22"/>
          <w:szCs w:val="22"/>
          <w:highlight w:val="none"/>
          <w14:textFill>
            <w14:solidFill>
              <w14:schemeClr w14:val="tx1"/>
            </w14:solidFill>
          </w14:textFill>
        </w:rPr>
        <w:t>方式：</w:t>
      </w:r>
      <w:r>
        <w:rPr>
          <w:rFonts w:hint="eastAsia" w:ascii="宋体" w:hAnsi="宋体" w:cs="宋体"/>
          <w:bCs/>
          <w:color w:val="000000" w:themeColor="text1"/>
          <w:sz w:val="22"/>
          <w:szCs w:val="22"/>
          <w:highlight w:val="none"/>
          <w14:textFill>
            <w14:solidFill>
              <w14:schemeClr w14:val="tx1"/>
            </w14:solidFill>
          </w14:textFill>
        </w:rPr>
        <w:t>现场投标报名或网上投标报名（</w:t>
      </w:r>
      <w:r>
        <w:rPr>
          <w:rFonts w:hint="eastAsia" w:ascii="宋体" w:hAnsi="宋体" w:cs="宋体"/>
          <w:color w:val="000000" w:themeColor="text1"/>
          <w:sz w:val="22"/>
          <w:szCs w:val="22"/>
          <w:highlight w:val="none"/>
          <w14:textFill>
            <w14:solidFill>
              <w14:schemeClr w14:val="tx1"/>
            </w14:solidFill>
          </w14:textFill>
        </w:rPr>
        <w:t>报名资料均需加盖单位公章</w:t>
      </w:r>
      <w:r>
        <w:rPr>
          <w:rFonts w:hint="eastAsia" w:ascii="宋体" w:hAnsi="宋体" w:cs="宋体"/>
          <w:bCs/>
          <w:color w:val="000000" w:themeColor="text1"/>
          <w:sz w:val="22"/>
          <w:szCs w:val="22"/>
          <w:highlight w:val="none"/>
          <w14:textFill>
            <w14:solidFill>
              <w14:schemeClr w14:val="tx1"/>
            </w14:solidFill>
          </w14:textFill>
        </w:rPr>
        <w:t>）</w:t>
      </w:r>
    </w:p>
    <w:p w14:paraId="6A3A4B69">
      <w:pPr>
        <w:numPr>
          <w:ilvl w:val="0"/>
          <w:numId w:val="6"/>
        </w:numPr>
        <w:spacing w:line="360" w:lineRule="auto"/>
        <w:rPr>
          <w:rFonts w:ascii="宋体" w:hAnsi="宋体" w:cs="宋体"/>
          <w:sz w:val="22"/>
          <w:highlight w:val="none"/>
        </w:rPr>
      </w:pPr>
      <w:r>
        <w:rPr>
          <w:rFonts w:hint="eastAsia" w:ascii="宋体" w:hAnsi="宋体" w:cs="宋体"/>
          <w:sz w:val="22"/>
          <w:highlight w:val="none"/>
        </w:rPr>
        <w:t>现场投标报名：提供以下资料：1）营业执照（或事业法人登记证等证明文件）复印件；2）法定代表人证明书及授权委托书，附上法定代表人身份证复印件及授权代表身份证复印件；3）《洽购文件登记表》；4）资格要求中其他资质证明文件。</w:t>
      </w:r>
    </w:p>
    <w:p w14:paraId="0C5EA0E3">
      <w:pPr>
        <w:numPr>
          <w:ilvl w:val="0"/>
          <w:numId w:val="6"/>
        </w:numPr>
        <w:spacing w:line="360" w:lineRule="auto"/>
        <w:rPr>
          <w:rFonts w:ascii="宋体" w:hAnsi="宋体" w:cs="宋体"/>
          <w:sz w:val="22"/>
          <w:highlight w:val="none"/>
        </w:rPr>
      </w:pPr>
      <w:r>
        <w:rPr>
          <w:rFonts w:hint="eastAsia" w:ascii="宋体" w:hAnsi="宋体" w:cs="宋体"/>
          <w:sz w:val="22"/>
          <w:highlight w:val="none"/>
        </w:rPr>
        <w:t>网上投标报名：发送报名资料至我司邮箱进行报名登记及获取招标文件，邮箱地址：dh@szdhit.com。报名邮件需附以下资料：1）营业执照（或事业法人登记证等证明文件）复印件；2）法定代表人证明书及授权委托书，附上法定代表人身份证复印件及授权代表身份证复印件；3）《洽购文件登记表》；4）资格要求中其他资质证明文件；5）购买标书费用银行转账凭证。报名时间以邮件收到时间为准，工作人员将在第二个工作日与报名资料完整的投标人联系。</w:t>
      </w:r>
    </w:p>
    <w:p w14:paraId="5211D68D">
      <w:pPr>
        <w:numPr>
          <w:ilvl w:val="0"/>
          <w:numId w:val="6"/>
        </w:numPr>
        <w:spacing w:line="360" w:lineRule="auto"/>
        <w:rPr>
          <w:rFonts w:ascii="宋体" w:hAnsi="宋体" w:cs="宋体"/>
          <w:color w:val="000000" w:themeColor="text1"/>
          <w:sz w:val="22"/>
          <w:szCs w:val="22"/>
          <w:highlight w:val="none"/>
          <w14:textFill>
            <w14:solidFill>
              <w14:schemeClr w14:val="tx1"/>
            </w14:solidFill>
          </w14:textFill>
        </w:rPr>
      </w:pPr>
      <w:r>
        <w:rPr>
          <w:rFonts w:hint="eastAsia" w:ascii="宋体" w:hAnsi="宋体" w:cs="宋体"/>
          <w:sz w:val="22"/>
          <w:highlight w:val="none"/>
        </w:rPr>
        <w:t>供应商可到采购代理机构网站（www.szdhit.com）下载中心免费下载</w:t>
      </w:r>
      <w:bookmarkStart w:id="17" w:name="OLE_LINK26"/>
      <w:bookmarkEnd w:id="17"/>
      <w:r>
        <w:rPr>
          <w:rFonts w:hint="eastAsia" w:ascii="宋体" w:hAnsi="宋体" w:cs="宋体"/>
          <w:sz w:val="22"/>
          <w:highlight w:val="none"/>
        </w:rPr>
        <w:t>《洽购文件登记表》及《法定代表人证明书及授权委托书》</w:t>
      </w:r>
      <w:r>
        <w:rPr>
          <w:rFonts w:hint="eastAsia" w:ascii="宋体" w:hAnsi="宋体" w:cs="宋体"/>
          <w:color w:val="000000" w:themeColor="text1"/>
          <w:sz w:val="22"/>
          <w:szCs w:val="22"/>
          <w:highlight w:val="none"/>
          <w14:textFill>
            <w14:solidFill>
              <w14:schemeClr w14:val="tx1"/>
            </w14:solidFill>
          </w14:textFill>
        </w:rPr>
        <w:t>。</w:t>
      </w:r>
    </w:p>
    <w:p w14:paraId="07422DF7">
      <w:pPr>
        <w:numPr>
          <w:ilvl w:val="0"/>
          <w:numId w:val="6"/>
        </w:numPr>
        <w:spacing w:line="360" w:lineRule="auto"/>
        <w:rPr>
          <w:rFonts w:ascii="宋体" w:hAnsi="宋体" w:cs="宋体"/>
          <w:b/>
          <w:bCs/>
          <w:color w:val="000000" w:themeColor="text1"/>
          <w:sz w:val="22"/>
          <w:szCs w:val="22"/>
          <w:highlight w:val="none"/>
          <w14:textFill>
            <w14:solidFill>
              <w14:schemeClr w14:val="tx1"/>
            </w14:solidFill>
          </w14:textFill>
        </w:rPr>
      </w:pPr>
      <w:r>
        <w:rPr>
          <w:rFonts w:hint="eastAsia" w:ascii="宋体" w:hAnsi="宋体" w:cs="宋体"/>
          <w:b/>
          <w:bCs/>
          <w:color w:val="000000" w:themeColor="text1"/>
          <w:sz w:val="22"/>
          <w:szCs w:val="22"/>
          <w:highlight w:val="none"/>
          <w14:textFill>
            <w14:solidFill>
              <w14:schemeClr w14:val="tx1"/>
            </w14:solidFill>
          </w14:textFill>
        </w:rPr>
        <w:t>标书发售联系人及联系方式：葛小姐，0755-86959378转8001。</w:t>
      </w:r>
    </w:p>
    <w:p w14:paraId="7F345EB6">
      <w:pPr>
        <w:numPr>
          <w:ilvl w:val="0"/>
          <w:numId w:val="0"/>
        </w:numPr>
        <w:spacing w:line="360" w:lineRule="auto"/>
        <w:ind w:left="0" w:leftChars="0" w:firstLine="0" w:firstLineChars="0"/>
        <w:rPr>
          <w:rFonts w:ascii="宋体" w:hAnsi="宋体" w:cs="宋体"/>
          <w:iCs/>
          <w:color w:val="000000" w:themeColor="text1"/>
          <w:sz w:val="22"/>
          <w:szCs w:val="22"/>
          <w:highlight w:val="none"/>
          <w14:textFill>
            <w14:solidFill>
              <w14:schemeClr w14:val="tx1"/>
            </w14:solidFill>
          </w14:textFill>
        </w:rPr>
      </w:pPr>
      <w:r>
        <w:rPr>
          <w:rFonts w:hint="default" w:ascii="宋体" w:hAnsi="宋体" w:eastAsia="宋体" w:cs="宋体"/>
          <w:iCs/>
          <w:color w:val="000000" w:themeColor="text1"/>
          <w:kern w:val="2"/>
          <w:sz w:val="22"/>
          <w:szCs w:val="22"/>
          <w:highlight w:val="none"/>
          <w:lang w:val="en-US" w:eastAsia="zh-CN" w:bidi="ar-SA"/>
          <w14:textFill>
            <w14:solidFill>
              <w14:schemeClr w14:val="tx1"/>
            </w14:solidFill>
          </w14:textFill>
        </w:rPr>
        <w:t>4．</w:t>
      </w:r>
      <w:r>
        <w:rPr>
          <w:rFonts w:hint="eastAsia" w:ascii="宋体" w:hAnsi="宋体" w:cs="宋体"/>
          <w:color w:val="000000" w:themeColor="text1"/>
          <w:sz w:val="22"/>
          <w:szCs w:val="22"/>
          <w:highlight w:val="none"/>
          <w14:textFill>
            <w14:solidFill>
              <w14:schemeClr w14:val="tx1"/>
            </w14:solidFill>
          </w14:textFill>
        </w:rPr>
        <w:t>售价：5</w:t>
      </w:r>
      <w:r>
        <w:rPr>
          <w:rFonts w:hint="eastAsia" w:ascii="宋体" w:hAnsi="宋体" w:cs="宋体"/>
          <w:iCs/>
          <w:color w:val="000000" w:themeColor="text1"/>
          <w:sz w:val="22"/>
          <w:szCs w:val="22"/>
          <w:highlight w:val="none"/>
          <w14:textFill>
            <w14:solidFill>
              <w14:schemeClr w14:val="tx1"/>
            </w14:solidFill>
          </w14:textFill>
        </w:rPr>
        <w:t>00.00元（售后不退）</w:t>
      </w:r>
    </w:p>
    <w:p w14:paraId="335FF91A">
      <w:pPr>
        <w:spacing w:line="360" w:lineRule="auto"/>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开户行名称及账号</w:t>
      </w:r>
    </w:p>
    <w:p w14:paraId="248B2CEB">
      <w:pPr>
        <w:spacing w:line="360" w:lineRule="auto"/>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开户行：中国农业银行股份有限公司深圳东湖支行</w:t>
      </w:r>
    </w:p>
    <w:p w14:paraId="79536D8F">
      <w:pPr>
        <w:spacing w:line="360" w:lineRule="auto"/>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账户名称：深圳市东海国际招标有限公司</w:t>
      </w:r>
    </w:p>
    <w:p w14:paraId="3B2EDCB5">
      <w:pPr>
        <w:spacing w:line="360" w:lineRule="auto"/>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账号：4100 1800 0400 2656 1</w:t>
      </w:r>
    </w:p>
    <w:p w14:paraId="3F39827A">
      <w:pPr>
        <w:spacing w:line="360" w:lineRule="auto"/>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备注：付款时请备注公司名称+付款原因（购买采购文件或中标服务费付款）。</w:t>
      </w:r>
    </w:p>
    <w:p w14:paraId="28121206">
      <w:pPr>
        <w:snapToGrid w:val="0"/>
        <w:spacing w:line="360" w:lineRule="auto"/>
        <w:outlineLvl w:val="1"/>
        <w:rPr>
          <w:rFonts w:ascii="宋体" w:hAnsi="宋体" w:cs="宋体"/>
          <w:b/>
          <w:color w:val="000000" w:themeColor="text1"/>
          <w:kern w:val="0"/>
          <w:sz w:val="22"/>
          <w:szCs w:val="22"/>
          <w:highlight w:val="none"/>
          <w14:textFill>
            <w14:solidFill>
              <w14:schemeClr w14:val="tx1"/>
            </w14:solidFill>
          </w14:textFill>
        </w:rPr>
      </w:pPr>
      <w:r>
        <w:rPr>
          <w:rFonts w:hint="eastAsia" w:ascii="宋体" w:hAnsi="宋体" w:cs="宋体"/>
          <w:b/>
          <w:color w:val="000000" w:themeColor="text1"/>
          <w:kern w:val="0"/>
          <w:sz w:val="22"/>
          <w:szCs w:val="22"/>
          <w:highlight w:val="none"/>
          <w14:textFill>
            <w14:solidFill>
              <w14:schemeClr w14:val="tx1"/>
            </w14:solidFill>
          </w14:textFill>
        </w:rPr>
        <w:t>四、提交投标文件截止时间、开标时间和地点</w:t>
      </w:r>
    </w:p>
    <w:p w14:paraId="61FFF4B8">
      <w:pPr>
        <w:spacing w:line="360" w:lineRule="auto"/>
        <w:rPr>
          <w:rFonts w:hint="eastAsia" w:ascii="宋体" w:hAnsi="宋体" w:cs="宋体"/>
          <w:b w:val="0"/>
          <w:bCs/>
          <w:color w:val="000000" w:themeColor="text1"/>
          <w:kern w:val="0"/>
          <w:sz w:val="22"/>
          <w:szCs w:val="22"/>
          <w:highlight w:val="none"/>
          <w14:textFill>
            <w14:solidFill>
              <w14:schemeClr w14:val="tx1"/>
            </w14:solidFill>
          </w14:textFill>
        </w:rPr>
      </w:pPr>
      <w:r>
        <w:rPr>
          <w:rFonts w:hint="eastAsia" w:ascii="宋体" w:hAnsi="宋体" w:cs="宋体"/>
          <w:b w:val="0"/>
          <w:bCs/>
          <w:color w:val="000000" w:themeColor="text1"/>
          <w:kern w:val="0"/>
          <w:sz w:val="22"/>
          <w:szCs w:val="22"/>
          <w:highlight w:val="none"/>
          <w14:textFill>
            <w14:solidFill>
              <w14:schemeClr w14:val="tx1"/>
            </w14:solidFill>
          </w14:textFill>
        </w:rPr>
        <w:t>1．</w:t>
      </w:r>
      <w:r>
        <w:rPr>
          <w:rFonts w:hint="eastAsia" w:ascii="宋体" w:hAnsi="宋体" w:cs="宋体"/>
          <w:b w:val="0"/>
          <w:bCs/>
          <w:color w:val="FF0000"/>
          <w:kern w:val="0"/>
          <w:sz w:val="22"/>
          <w:szCs w:val="22"/>
          <w:highlight w:val="none"/>
        </w:rPr>
        <w:t>时间：2025年*月*日（北京时间）</w:t>
      </w:r>
    </w:p>
    <w:p w14:paraId="460957D6">
      <w:pPr>
        <w:spacing w:line="360" w:lineRule="auto"/>
        <w:rPr>
          <w:rFonts w:hint="eastAsia" w:ascii="宋体" w:hAnsi="宋体" w:cs="宋体"/>
          <w:b w:val="0"/>
          <w:bCs/>
          <w:color w:val="000000" w:themeColor="text1"/>
          <w:kern w:val="0"/>
          <w:sz w:val="22"/>
          <w:szCs w:val="22"/>
          <w:highlight w:val="none"/>
          <w14:textFill>
            <w14:solidFill>
              <w14:schemeClr w14:val="tx1"/>
            </w14:solidFill>
          </w14:textFill>
        </w:rPr>
      </w:pPr>
      <w:r>
        <w:rPr>
          <w:rFonts w:hint="eastAsia" w:ascii="宋体" w:hAnsi="宋体" w:cs="宋体"/>
          <w:b w:val="0"/>
          <w:bCs/>
          <w:color w:val="000000" w:themeColor="text1"/>
          <w:kern w:val="0"/>
          <w:sz w:val="22"/>
          <w:szCs w:val="22"/>
          <w:highlight w:val="none"/>
          <w14:textFill>
            <w14:solidFill>
              <w14:schemeClr w14:val="tx1"/>
            </w14:solidFill>
          </w14:textFill>
        </w:rPr>
        <w:t>2．地点：深圳市罗湖区太宁路2号百仕达大厦27B深圳市东海国际招标有限公司 号开标室</w:t>
      </w:r>
    </w:p>
    <w:p w14:paraId="6A306BA7">
      <w:pPr>
        <w:snapToGrid w:val="0"/>
        <w:spacing w:line="360" w:lineRule="auto"/>
        <w:jc w:val="left"/>
        <w:outlineLvl w:val="1"/>
        <w:rPr>
          <w:rFonts w:ascii="宋体" w:hAnsi="宋体" w:cs="宋体"/>
          <w:b/>
          <w:color w:val="000000" w:themeColor="text1"/>
          <w:kern w:val="0"/>
          <w:sz w:val="22"/>
          <w:szCs w:val="22"/>
          <w:highlight w:val="none"/>
          <w14:textFill>
            <w14:solidFill>
              <w14:schemeClr w14:val="tx1"/>
            </w14:solidFill>
          </w14:textFill>
        </w:rPr>
      </w:pPr>
      <w:r>
        <w:rPr>
          <w:rFonts w:hint="eastAsia" w:ascii="宋体" w:hAnsi="宋体" w:cs="宋体"/>
          <w:b/>
          <w:color w:val="000000" w:themeColor="text1"/>
          <w:kern w:val="0"/>
          <w:sz w:val="22"/>
          <w:szCs w:val="22"/>
          <w:highlight w:val="none"/>
          <w14:textFill>
            <w14:solidFill>
              <w14:schemeClr w14:val="tx1"/>
            </w14:solidFill>
          </w14:textFill>
        </w:rPr>
        <w:t>五、公告期限</w:t>
      </w:r>
    </w:p>
    <w:p w14:paraId="28FEA01E">
      <w:pPr>
        <w:spacing w:line="360" w:lineRule="auto"/>
        <w:rPr>
          <w:rFonts w:ascii="宋体" w:hAnsi="宋体" w:cs="宋体"/>
          <w:color w:val="000000" w:themeColor="text1"/>
          <w:kern w:val="0"/>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自本公告发布之日起5个工作日。</w:t>
      </w:r>
    </w:p>
    <w:p w14:paraId="5F30BD5D">
      <w:pPr>
        <w:snapToGrid w:val="0"/>
        <w:spacing w:line="360" w:lineRule="auto"/>
        <w:jc w:val="left"/>
        <w:outlineLvl w:val="1"/>
        <w:rPr>
          <w:rFonts w:ascii="宋体" w:hAnsi="宋体" w:cs="宋体"/>
          <w:b/>
          <w:color w:val="000000" w:themeColor="text1"/>
          <w:kern w:val="0"/>
          <w:sz w:val="22"/>
          <w:szCs w:val="22"/>
          <w:highlight w:val="none"/>
          <w14:textFill>
            <w14:solidFill>
              <w14:schemeClr w14:val="tx1"/>
            </w14:solidFill>
          </w14:textFill>
        </w:rPr>
      </w:pPr>
      <w:r>
        <w:rPr>
          <w:rFonts w:hint="eastAsia" w:ascii="宋体" w:hAnsi="宋体" w:cs="宋体"/>
          <w:b/>
          <w:color w:val="000000" w:themeColor="text1"/>
          <w:kern w:val="0"/>
          <w:sz w:val="22"/>
          <w:szCs w:val="22"/>
          <w:highlight w:val="none"/>
          <w14:textFill>
            <w14:solidFill>
              <w14:schemeClr w14:val="tx1"/>
            </w14:solidFill>
          </w14:textFill>
        </w:rPr>
        <w:t>六、其他补充事宜</w:t>
      </w:r>
    </w:p>
    <w:p w14:paraId="4DB06A94">
      <w:pPr>
        <w:spacing w:line="360" w:lineRule="auto"/>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1.项目相关公告发布网站：</w:t>
      </w:r>
    </w:p>
    <w:p w14:paraId="38D52598">
      <w:pPr>
        <w:spacing w:line="360" w:lineRule="auto"/>
        <w:rPr>
          <w:rFonts w:hint="default"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深圳公共资源交易网：https://www.szggzy.com</w:t>
      </w:r>
    </w:p>
    <w:p w14:paraId="425C99A9">
      <w:pPr>
        <w:spacing w:line="360" w:lineRule="auto"/>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深圳市东海国际招标有限公司网：www.szdhit.com</w:t>
      </w:r>
    </w:p>
    <w:p w14:paraId="23B808E8">
      <w:pPr>
        <w:spacing w:line="360" w:lineRule="auto"/>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2.其他事项</w:t>
      </w:r>
    </w:p>
    <w:p w14:paraId="3886ADF6">
      <w:pPr>
        <w:spacing w:line="360" w:lineRule="auto"/>
        <w:rPr>
          <w:rFonts w:ascii="宋体" w:hAnsi="宋体" w:cs="宋体"/>
          <w:sz w:val="22"/>
          <w:highlight w:val="none"/>
        </w:rPr>
      </w:pPr>
      <w:r>
        <w:rPr>
          <w:rFonts w:hint="eastAsia" w:ascii="宋体" w:hAnsi="宋体" w:cs="宋体"/>
          <w:sz w:val="22"/>
          <w:highlight w:val="none"/>
        </w:rPr>
        <w:t>（1）本项目投标人可通过“顺丰速运”的邮寄方式（不接受其他邮寄方式或顺丰同城、闪送、美团跑腿等同城服务递交），按照规定的提交投标文件截止时间前将投标文件邮寄至我司，送达时间以我司工作人员签收时间为准。快递箱封面需用A4纸清晰标注项目名称、项目编号和投标人名称，投标人自行承担因寄错地址、逾期送达、未按照招标文件要求密封或者邮寄过程中出现包装密封破损等可能导致投标无效情形的责任与后果。投标人未参加开标会的，视同认可开标结果。</w:t>
      </w:r>
    </w:p>
    <w:p w14:paraId="1D832F40">
      <w:pPr>
        <w:spacing w:line="360" w:lineRule="auto"/>
        <w:rPr>
          <w:rFonts w:ascii="宋体" w:hAnsi="宋体" w:cs="宋体"/>
          <w:color w:val="000000" w:themeColor="text1"/>
          <w:sz w:val="22"/>
          <w:szCs w:val="22"/>
          <w:highlight w:val="none"/>
          <w14:textFill>
            <w14:solidFill>
              <w14:schemeClr w14:val="tx1"/>
            </w14:solidFill>
          </w14:textFill>
        </w:rPr>
      </w:pPr>
      <w:r>
        <w:rPr>
          <w:rFonts w:hint="eastAsia" w:ascii="宋体" w:hAnsi="宋体" w:cs="宋体"/>
          <w:sz w:val="22"/>
          <w:highlight w:val="none"/>
        </w:rPr>
        <w:t>（2）邮寄地址：深圳市罗湖区太宁路2号百仕达大厦27B深圳市东海国际招标有限公司，收件人：葛小姐，联系电话：0755-86959378转8001</w:t>
      </w:r>
      <w:r>
        <w:rPr>
          <w:rFonts w:hint="eastAsia" w:ascii="宋体" w:hAnsi="宋体" w:cs="宋体"/>
          <w:color w:val="000000" w:themeColor="text1"/>
          <w:sz w:val="22"/>
          <w:szCs w:val="22"/>
          <w:highlight w:val="none"/>
          <w14:textFill>
            <w14:solidFill>
              <w14:schemeClr w14:val="tx1"/>
            </w14:solidFill>
          </w14:textFill>
        </w:rPr>
        <w:t>。</w:t>
      </w:r>
    </w:p>
    <w:p w14:paraId="275A62F7">
      <w:pPr>
        <w:snapToGrid w:val="0"/>
        <w:spacing w:line="360" w:lineRule="auto"/>
        <w:jc w:val="left"/>
        <w:outlineLvl w:val="1"/>
        <w:rPr>
          <w:rFonts w:hint="eastAsia" w:ascii="宋体" w:hAnsi="宋体" w:eastAsia="宋体" w:cs="宋体"/>
          <w:color w:val="auto"/>
          <w:sz w:val="22"/>
          <w:szCs w:val="22"/>
          <w:highlight w:val="none"/>
        </w:rPr>
      </w:pPr>
      <w:r>
        <w:rPr>
          <w:rFonts w:hint="eastAsia" w:ascii="宋体" w:hAnsi="宋体" w:cs="宋体"/>
          <w:b/>
          <w:color w:val="000000" w:themeColor="text1"/>
          <w:kern w:val="0"/>
          <w:sz w:val="22"/>
          <w:szCs w:val="22"/>
          <w:highlight w:val="none"/>
          <w14:textFill>
            <w14:solidFill>
              <w14:schemeClr w14:val="tx1"/>
            </w14:solidFill>
          </w14:textFill>
        </w:rPr>
        <w:t>七、对本次招标提出询问，请按以下方式联系</w:t>
      </w:r>
    </w:p>
    <w:p w14:paraId="7E83D40B">
      <w:pPr>
        <w:spacing w:line="360" w:lineRule="auto"/>
        <w:rPr>
          <w:rFonts w:hint="eastAsia" w:ascii="宋体" w:hAnsi="宋体" w:cs="宋体"/>
          <w:sz w:val="22"/>
          <w:highlight w:val="none"/>
        </w:rPr>
      </w:pPr>
      <w:r>
        <w:rPr>
          <w:rFonts w:hint="eastAsia" w:ascii="宋体" w:hAnsi="宋体" w:cs="宋体"/>
          <w:sz w:val="22"/>
          <w:highlight w:val="none"/>
          <w:lang w:val="en-US" w:eastAsia="zh-CN"/>
        </w:rPr>
        <w:t>1</w:t>
      </w:r>
      <w:r>
        <w:rPr>
          <w:rFonts w:hint="eastAsia" w:ascii="宋体" w:hAnsi="宋体" w:cs="宋体"/>
          <w:sz w:val="22"/>
          <w:highlight w:val="none"/>
        </w:rPr>
        <w:t>．采购人信息</w:t>
      </w:r>
    </w:p>
    <w:p w14:paraId="2FDBB03F">
      <w:pPr>
        <w:spacing w:line="360" w:lineRule="auto"/>
        <w:rPr>
          <w:rFonts w:hint="eastAsia" w:ascii="宋体" w:hAnsi="宋体" w:eastAsia="宋体" w:cs="宋体"/>
          <w:sz w:val="22"/>
          <w:highlight w:val="none"/>
          <w:lang w:eastAsia="zh-CN"/>
        </w:rPr>
      </w:pPr>
      <w:r>
        <w:rPr>
          <w:rFonts w:hint="eastAsia" w:ascii="宋体" w:hAnsi="宋体" w:cs="宋体"/>
          <w:sz w:val="22"/>
          <w:highlight w:val="none"/>
        </w:rPr>
        <w:t>名　称：</w:t>
      </w:r>
      <w:r>
        <w:rPr>
          <w:rFonts w:hint="eastAsia" w:ascii="宋体" w:hAnsi="宋体" w:cs="宋体"/>
          <w:sz w:val="22"/>
          <w:highlight w:val="none"/>
          <w:lang w:eastAsia="zh-CN"/>
        </w:rPr>
        <w:t>深圳市宝安区住房和建设事务中心</w:t>
      </w:r>
    </w:p>
    <w:p w14:paraId="155F2820">
      <w:pPr>
        <w:spacing w:line="360" w:lineRule="auto"/>
        <w:rPr>
          <w:rFonts w:hint="eastAsia" w:ascii="宋体" w:hAnsi="宋体" w:cs="宋体"/>
          <w:sz w:val="22"/>
          <w:highlight w:val="none"/>
        </w:rPr>
      </w:pPr>
      <w:r>
        <w:rPr>
          <w:rFonts w:hint="eastAsia" w:ascii="宋体" w:hAnsi="宋体" w:cs="宋体"/>
          <w:sz w:val="22"/>
          <w:highlight w:val="none"/>
        </w:rPr>
        <w:t>地　址：</w:t>
      </w:r>
      <w:r>
        <w:rPr>
          <w:rFonts w:hint="eastAsia" w:ascii="宋体" w:hAnsi="宋体" w:eastAsia="宋体" w:cs="宋体"/>
          <w:i w:val="0"/>
          <w:iCs w:val="0"/>
          <w:caps w:val="0"/>
          <w:color w:val="auto"/>
          <w:spacing w:val="0"/>
          <w:sz w:val="22"/>
          <w:szCs w:val="22"/>
          <w:highlight w:val="none"/>
          <w:shd w:val="clear" w:fill="FFFFFF"/>
        </w:rPr>
        <w:t>深圳市宝安区42区翻身路75号</w:t>
      </w:r>
    </w:p>
    <w:p w14:paraId="2E36F6FE">
      <w:pPr>
        <w:spacing w:line="360" w:lineRule="auto"/>
        <w:rPr>
          <w:rFonts w:ascii="宋体" w:hAnsi="宋体" w:cs="宋体"/>
          <w:sz w:val="22"/>
          <w:highlight w:val="none"/>
        </w:rPr>
      </w:pPr>
      <w:r>
        <w:rPr>
          <w:rFonts w:hint="eastAsia" w:ascii="宋体" w:hAnsi="宋体" w:cs="宋体"/>
          <w:sz w:val="22"/>
          <w:highlight w:val="none"/>
        </w:rPr>
        <w:t>联系方式：</w:t>
      </w:r>
      <w:r>
        <w:rPr>
          <w:rFonts w:hint="eastAsia" w:ascii="宋体" w:hAnsi="宋体" w:cs="宋体"/>
          <w:sz w:val="22"/>
          <w:highlight w:val="none"/>
          <w:lang w:eastAsia="zh-CN"/>
        </w:rPr>
        <w:t>陈</w:t>
      </w:r>
      <w:r>
        <w:rPr>
          <w:rFonts w:hint="eastAsia" w:ascii="宋体" w:hAnsi="宋体" w:cs="宋体"/>
          <w:sz w:val="22"/>
          <w:highlight w:val="none"/>
        </w:rPr>
        <w:t>工   0755-</w:t>
      </w:r>
      <w:r>
        <w:rPr>
          <w:rFonts w:hint="default" w:ascii="宋体" w:hAnsi="宋体" w:cs="宋体"/>
          <w:sz w:val="22"/>
          <w:highlight w:val="none"/>
        </w:rPr>
        <w:t>85901018</w:t>
      </w:r>
      <w:r>
        <w:rPr>
          <w:rFonts w:hint="eastAsia" w:ascii="宋体" w:hAnsi="宋体" w:cs="宋体"/>
          <w:sz w:val="22"/>
          <w:highlight w:val="none"/>
        </w:rPr>
        <w:t xml:space="preserve"> </w:t>
      </w:r>
      <w:r>
        <w:rPr>
          <w:rFonts w:hint="eastAsia" w:ascii="宋体" w:hAnsi="宋体" w:cs="宋体"/>
          <w:sz w:val="22"/>
          <w:highlight w:val="none"/>
          <w:lang w:val="en-US" w:eastAsia="zh-CN"/>
        </w:rPr>
        <w:t xml:space="preserve"> </w:t>
      </w:r>
      <w:r>
        <w:rPr>
          <w:rFonts w:hint="eastAsia" w:ascii="宋体" w:hAnsi="宋体" w:cs="宋体"/>
          <w:sz w:val="22"/>
          <w:highlight w:val="none"/>
        </w:rPr>
        <w:t xml:space="preserve"> </w:t>
      </w:r>
    </w:p>
    <w:p w14:paraId="42A7B820">
      <w:pPr>
        <w:spacing w:line="360" w:lineRule="auto"/>
        <w:rPr>
          <w:rFonts w:ascii="宋体" w:hAnsi="宋体" w:cs="宋体"/>
          <w:sz w:val="22"/>
          <w:highlight w:val="none"/>
        </w:rPr>
      </w:pPr>
      <w:r>
        <w:rPr>
          <w:rFonts w:hint="eastAsia" w:ascii="宋体" w:hAnsi="宋体" w:cs="宋体"/>
          <w:sz w:val="22"/>
          <w:highlight w:val="none"/>
        </w:rPr>
        <w:t>2．采购代理机构信息</w:t>
      </w:r>
    </w:p>
    <w:p w14:paraId="158F4D56">
      <w:pPr>
        <w:spacing w:line="360" w:lineRule="auto"/>
        <w:rPr>
          <w:rFonts w:ascii="宋体" w:hAnsi="宋体" w:cs="宋体"/>
          <w:sz w:val="22"/>
          <w:highlight w:val="none"/>
        </w:rPr>
      </w:pPr>
      <w:r>
        <w:rPr>
          <w:rFonts w:hint="eastAsia" w:ascii="宋体" w:hAnsi="宋体" w:cs="宋体"/>
          <w:sz w:val="22"/>
          <w:highlight w:val="none"/>
        </w:rPr>
        <w:t>名　 称：深圳市东海国际招标有限公司</w:t>
      </w:r>
    </w:p>
    <w:p w14:paraId="023E42D8">
      <w:pPr>
        <w:spacing w:line="360" w:lineRule="auto"/>
        <w:rPr>
          <w:rFonts w:ascii="宋体" w:hAnsi="宋体" w:cs="宋体"/>
          <w:sz w:val="22"/>
          <w:highlight w:val="none"/>
        </w:rPr>
      </w:pPr>
      <w:r>
        <w:rPr>
          <w:rFonts w:hint="eastAsia" w:ascii="宋体" w:hAnsi="宋体" w:cs="宋体"/>
          <w:sz w:val="22"/>
          <w:highlight w:val="none"/>
        </w:rPr>
        <w:t>地　 址：深圳市罗湖区太宁路2号百仕达大厦27B</w:t>
      </w:r>
    </w:p>
    <w:p w14:paraId="519A5C4B">
      <w:pPr>
        <w:spacing w:line="360" w:lineRule="auto"/>
        <w:rPr>
          <w:rFonts w:ascii="宋体" w:hAnsi="宋体" w:cs="宋体"/>
          <w:sz w:val="22"/>
          <w:highlight w:val="none"/>
        </w:rPr>
      </w:pPr>
      <w:r>
        <w:rPr>
          <w:rFonts w:hint="eastAsia" w:ascii="宋体" w:hAnsi="宋体" w:cs="宋体"/>
          <w:sz w:val="22"/>
          <w:highlight w:val="none"/>
        </w:rPr>
        <w:t>联系方式：0755-86959378</w:t>
      </w:r>
    </w:p>
    <w:p w14:paraId="087A6035">
      <w:pPr>
        <w:spacing w:line="360" w:lineRule="auto"/>
        <w:rPr>
          <w:rFonts w:ascii="宋体" w:hAnsi="宋体" w:cs="宋体"/>
          <w:sz w:val="22"/>
          <w:highlight w:val="none"/>
        </w:rPr>
      </w:pPr>
      <w:r>
        <w:rPr>
          <w:rFonts w:hint="eastAsia" w:ascii="宋体" w:hAnsi="宋体" w:cs="宋体"/>
          <w:sz w:val="22"/>
          <w:highlight w:val="none"/>
        </w:rPr>
        <w:t>3．项目联系方式</w:t>
      </w:r>
    </w:p>
    <w:p w14:paraId="5705BDC5">
      <w:pPr>
        <w:spacing w:line="360" w:lineRule="auto"/>
        <w:rPr>
          <w:rFonts w:ascii="宋体" w:hAnsi="宋体" w:cs="宋体"/>
          <w:sz w:val="22"/>
          <w:highlight w:val="none"/>
        </w:rPr>
      </w:pPr>
      <w:r>
        <w:rPr>
          <w:rFonts w:hint="eastAsia" w:ascii="宋体" w:hAnsi="宋体" w:cs="宋体"/>
          <w:sz w:val="22"/>
          <w:highlight w:val="none"/>
        </w:rPr>
        <w:t>项目联系人：常女士、</w:t>
      </w:r>
      <w:r>
        <w:rPr>
          <w:rFonts w:hint="eastAsia" w:ascii="宋体" w:hAnsi="宋体" w:cs="宋体"/>
          <w:sz w:val="22"/>
          <w:highlight w:val="none"/>
          <w:lang w:eastAsia="zh-CN"/>
        </w:rPr>
        <w:t>李先生</w:t>
      </w:r>
    </w:p>
    <w:p w14:paraId="55FFEB4C">
      <w:pPr>
        <w:spacing w:line="360" w:lineRule="auto"/>
        <w:rPr>
          <w:rFonts w:hint="eastAsia" w:ascii="宋体" w:hAnsi="宋体" w:eastAsia="宋体" w:cs="宋体"/>
          <w:color w:val="auto"/>
          <w:sz w:val="22"/>
          <w:szCs w:val="22"/>
          <w:highlight w:val="none"/>
          <w:lang w:val="en-US" w:eastAsia="zh-CN"/>
        </w:rPr>
      </w:pPr>
      <w:r>
        <w:rPr>
          <w:rFonts w:hint="eastAsia" w:ascii="宋体" w:hAnsi="宋体" w:cs="宋体"/>
          <w:sz w:val="22"/>
          <w:highlight w:val="none"/>
        </w:rPr>
        <w:t>电　话：0755-86959378或86959778转80</w:t>
      </w:r>
      <w:r>
        <w:rPr>
          <w:rFonts w:hint="eastAsia" w:ascii="宋体" w:hAnsi="宋体" w:cs="宋体"/>
          <w:sz w:val="22"/>
          <w:highlight w:val="none"/>
          <w:lang w:val="en-US" w:eastAsia="zh-CN"/>
        </w:rPr>
        <w:t>06</w:t>
      </w:r>
    </w:p>
    <w:p w14:paraId="7625954C">
      <w:pPr>
        <w:spacing w:line="360" w:lineRule="auto"/>
        <w:rPr>
          <w:rFonts w:hint="eastAsia" w:ascii="宋体" w:hAnsi="宋体" w:eastAsia="宋体" w:cs="宋体"/>
          <w:color w:val="auto"/>
          <w:sz w:val="22"/>
          <w:szCs w:val="22"/>
          <w:highlight w:val="none"/>
        </w:rPr>
      </w:pPr>
    </w:p>
    <w:p w14:paraId="0DCD1C12">
      <w:pPr>
        <w:pStyle w:val="22"/>
        <w:spacing w:after="0" w:line="360" w:lineRule="auto"/>
        <w:ind w:left="0" w:leftChars="0" w:firstLine="440"/>
        <w:rPr>
          <w:rFonts w:hint="eastAsia" w:ascii="宋体" w:hAnsi="宋体" w:eastAsia="宋体" w:cs="宋体"/>
          <w:color w:val="auto"/>
          <w:sz w:val="22"/>
          <w:szCs w:val="22"/>
          <w:highlight w:val="none"/>
        </w:rPr>
      </w:pPr>
    </w:p>
    <w:p w14:paraId="425EB599">
      <w:pPr>
        <w:spacing w:line="360" w:lineRule="auto"/>
        <w:jc w:val="righ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深圳市东海国际招标有限公司</w:t>
      </w:r>
    </w:p>
    <w:p w14:paraId="2DA38979">
      <w:pPr>
        <w:pStyle w:val="22"/>
        <w:spacing w:after="0" w:line="360" w:lineRule="auto"/>
        <w:ind w:left="0" w:leftChars="0" w:firstLine="0" w:firstLineChars="0"/>
        <w:jc w:val="right"/>
        <w:rPr>
          <w:rFonts w:hint="eastAsia" w:ascii="宋体" w:hAnsi="宋体" w:eastAsia="宋体" w:cs="宋体"/>
          <w:color w:val="FF0000"/>
          <w:kern w:val="2"/>
          <w:sz w:val="22"/>
          <w:szCs w:val="22"/>
          <w:highlight w:val="none"/>
          <w:lang w:val="en-US" w:eastAsia="zh-CN" w:bidi="ar-SA"/>
        </w:rPr>
      </w:pPr>
      <w:r>
        <w:rPr>
          <w:rFonts w:hint="eastAsia" w:ascii="宋体" w:hAnsi="宋体" w:eastAsia="宋体" w:cs="宋体"/>
          <w:color w:val="FF0000"/>
          <w:kern w:val="2"/>
          <w:sz w:val="22"/>
          <w:szCs w:val="22"/>
          <w:highlight w:val="none"/>
          <w:lang w:val="en-US" w:eastAsia="zh-CN" w:bidi="ar-SA"/>
        </w:rPr>
        <w:t>202</w:t>
      </w:r>
      <w:r>
        <w:rPr>
          <w:rFonts w:hint="eastAsia" w:ascii="宋体" w:hAnsi="宋体" w:cs="宋体"/>
          <w:color w:val="FF0000"/>
          <w:kern w:val="2"/>
          <w:sz w:val="22"/>
          <w:szCs w:val="22"/>
          <w:highlight w:val="none"/>
          <w:lang w:val="en-US" w:eastAsia="zh-CN" w:bidi="ar-SA"/>
        </w:rPr>
        <w:t>5</w:t>
      </w:r>
      <w:r>
        <w:rPr>
          <w:rFonts w:hint="eastAsia" w:ascii="宋体" w:hAnsi="宋体" w:eastAsia="宋体" w:cs="宋体"/>
          <w:color w:val="FF0000"/>
          <w:kern w:val="2"/>
          <w:sz w:val="22"/>
          <w:szCs w:val="22"/>
          <w:highlight w:val="none"/>
          <w:lang w:val="en-US" w:eastAsia="zh-CN" w:bidi="ar-SA"/>
        </w:rPr>
        <w:t>年</w:t>
      </w:r>
      <w:r>
        <w:rPr>
          <w:rFonts w:hint="eastAsia" w:ascii="宋体" w:hAnsi="宋体" w:cs="宋体"/>
          <w:color w:val="FF0000"/>
          <w:kern w:val="2"/>
          <w:sz w:val="22"/>
          <w:szCs w:val="22"/>
          <w:highlight w:val="none"/>
          <w:lang w:val="en-US" w:eastAsia="zh-CN" w:bidi="ar-SA"/>
        </w:rPr>
        <w:t xml:space="preserve"> </w:t>
      </w:r>
      <w:r>
        <w:rPr>
          <w:rFonts w:hint="eastAsia" w:ascii="宋体" w:hAnsi="宋体" w:eastAsia="宋体" w:cs="宋体"/>
          <w:color w:val="FF0000"/>
          <w:kern w:val="2"/>
          <w:sz w:val="22"/>
          <w:szCs w:val="22"/>
          <w:highlight w:val="none"/>
          <w:lang w:val="en-US" w:eastAsia="zh-CN" w:bidi="ar-SA"/>
        </w:rPr>
        <w:t>月</w:t>
      </w:r>
      <w:r>
        <w:rPr>
          <w:rFonts w:hint="eastAsia" w:ascii="宋体" w:hAnsi="宋体" w:cs="宋体"/>
          <w:color w:val="FF0000"/>
          <w:kern w:val="2"/>
          <w:sz w:val="22"/>
          <w:szCs w:val="22"/>
          <w:highlight w:val="none"/>
          <w:lang w:val="en-US" w:eastAsia="zh-CN" w:bidi="ar-SA"/>
        </w:rPr>
        <w:t xml:space="preserve"> </w:t>
      </w:r>
      <w:r>
        <w:rPr>
          <w:rFonts w:hint="eastAsia" w:ascii="宋体" w:hAnsi="宋体" w:eastAsia="宋体" w:cs="宋体"/>
          <w:color w:val="FF0000"/>
          <w:kern w:val="2"/>
          <w:sz w:val="22"/>
          <w:szCs w:val="22"/>
          <w:highlight w:val="none"/>
          <w:lang w:val="en-US" w:eastAsia="zh-CN" w:bidi="ar-SA"/>
        </w:rPr>
        <w:t>日</w:t>
      </w:r>
    </w:p>
    <w:p w14:paraId="5ADD7007">
      <w:pPr>
        <w:jc w:val="center"/>
        <w:rPr>
          <w:highlight w:val="none"/>
        </w:rPr>
      </w:pPr>
      <w:r>
        <w:rPr>
          <w:rFonts w:hint="eastAsia"/>
          <w:b/>
          <w:bCs/>
          <w:color w:val="FF0000"/>
          <w:sz w:val="24"/>
          <w:highlight w:val="none"/>
        </w:rPr>
        <w:t>*备注：各项时间节点以“深圳市东海国际招标有限公司网：www.szdhit.com” 招标公告的公布信息为准。</w:t>
      </w:r>
    </w:p>
    <w:p w14:paraId="5C58D937">
      <w:pPr>
        <w:rPr>
          <w:rFonts w:hint="eastAsia" w:ascii="宋体" w:hAnsi="宋体" w:eastAsia="宋体" w:cs="宋体"/>
          <w:color w:val="auto"/>
          <w:sz w:val="22"/>
          <w:szCs w:val="22"/>
          <w:highlight w:val="none"/>
        </w:rPr>
      </w:pPr>
    </w:p>
    <w:p w14:paraId="7242C092">
      <w:pPr>
        <w:rPr>
          <w:rFonts w:hint="eastAsia" w:ascii="宋体" w:hAnsi="宋体" w:eastAsia="宋体" w:cs="宋体"/>
          <w:color w:val="auto"/>
          <w:szCs w:val="22"/>
          <w:highlight w:val="none"/>
        </w:rPr>
      </w:pPr>
      <w:r>
        <w:rPr>
          <w:rFonts w:hint="eastAsia" w:ascii="宋体" w:hAnsi="宋体" w:eastAsia="宋体" w:cs="宋体"/>
          <w:color w:val="auto"/>
          <w:sz w:val="22"/>
          <w:szCs w:val="22"/>
          <w:highlight w:val="none"/>
        </w:rPr>
        <w:br w:type="page"/>
      </w:r>
    </w:p>
    <w:p w14:paraId="67F8A5A8">
      <w:pPr>
        <w:pStyle w:val="3"/>
        <w:spacing w:before="0" w:after="0" w:line="240" w:lineRule="auto"/>
        <w:rPr>
          <w:rFonts w:cs="宋体"/>
          <w:color w:val="000000" w:themeColor="text1"/>
          <w:sz w:val="32"/>
          <w:szCs w:val="32"/>
          <w:highlight w:val="none"/>
          <w14:textFill>
            <w14:solidFill>
              <w14:schemeClr w14:val="tx1"/>
            </w14:solidFill>
          </w14:textFill>
        </w:rPr>
      </w:pPr>
      <w:r>
        <w:rPr>
          <w:rFonts w:hint="eastAsia" w:ascii="宋体" w:hAnsi="宋体" w:eastAsia="宋体" w:cs="宋体"/>
          <w:b/>
          <w:color w:val="000000" w:themeColor="text1"/>
          <w:sz w:val="36"/>
          <w:szCs w:val="36"/>
          <w:highlight w:val="none"/>
          <w14:textFill>
            <w14:solidFill>
              <w14:schemeClr w14:val="tx1"/>
            </w14:solidFill>
          </w14:textFill>
        </w:rPr>
        <w:t>第二章  招标项目需求</w:t>
      </w:r>
    </w:p>
    <w:p w14:paraId="5C085C5B">
      <w:pPr>
        <w:pStyle w:val="3"/>
        <w:numPr>
          <w:ilvl w:val="0"/>
          <w:numId w:val="7"/>
        </w:numPr>
        <w:adjustRightInd/>
        <w:textAlignment w:val="auto"/>
        <w:rPr>
          <w:rFonts w:cs="宋体"/>
          <w:color w:val="000000" w:themeColor="text1"/>
          <w:sz w:val="32"/>
          <w:szCs w:val="32"/>
          <w:highlight w:val="none"/>
          <w14:textFill>
            <w14:solidFill>
              <w14:schemeClr w14:val="tx1"/>
            </w14:solidFill>
          </w14:textFill>
        </w:rPr>
      </w:pPr>
      <w:r>
        <w:rPr>
          <w:rFonts w:hint="eastAsia" w:cs="宋体"/>
          <w:color w:val="000000" w:themeColor="text1"/>
          <w:sz w:val="32"/>
          <w:szCs w:val="32"/>
          <w:highlight w:val="none"/>
          <w14:textFill>
            <w14:solidFill>
              <w14:schemeClr w14:val="tx1"/>
            </w14:solidFill>
          </w14:textFill>
        </w:rPr>
        <w:t>项目清单</w:t>
      </w:r>
    </w:p>
    <w:tbl>
      <w:tblPr>
        <w:tblStyle w:val="23"/>
        <w:tblpPr w:leftFromText="180" w:rightFromText="180" w:vertAnchor="text" w:horzAnchor="page" w:tblpX="1796" w:tblpY="244"/>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2"/>
        <w:gridCol w:w="4069"/>
        <w:gridCol w:w="757"/>
        <w:gridCol w:w="726"/>
        <w:gridCol w:w="2205"/>
      </w:tblGrid>
      <w:tr w14:paraId="71128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17" w:type="pct"/>
            <w:shd w:val="clear" w:color="auto" w:fill="BDD6EE" w:themeFill="accent1" w:themeFillTint="66"/>
            <w:noWrap/>
            <w:vAlign w:val="center"/>
          </w:tcPr>
          <w:p w14:paraId="16D6CBD6">
            <w:pPr>
              <w:spacing w:line="360" w:lineRule="exact"/>
              <w:jc w:val="center"/>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序号</w:t>
            </w:r>
          </w:p>
        </w:tc>
        <w:tc>
          <w:tcPr>
            <w:tcW w:w="2449" w:type="pct"/>
            <w:shd w:val="clear" w:color="auto" w:fill="BDD6EE" w:themeFill="accent1" w:themeFillTint="66"/>
            <w:noWrap/>
            <w:vAlign w:val="center"/>
          </w:tcPr>
          <w:p w14:paraId="537186F3">
            <w:pPr>
              <w:spacing w:line="360" w:lineRule="exact"/>
              <w:jc w:val="center"/>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服务内容</w:t>
            </w:r>
          </w:p>
        </w:tc>
        <w:tc>
          <w:tcPr>
            <w:tcW w:w="508" w:type="pct"/>
            <w:shd w:val="clear" w:color="auto" w:fill="BDD6EE" w:themeFill="accent1" w:themeFillTint="66"/>
            <w:noWrap/>
            <w:vAlign w:val="center"/>
          </w:tcPr>
          <w:p w14:paraId="757573E4">
            <w:pPr>
              <w:spacing w:line="360" w:lineRule="exact"/>
              <w:jc w:val="center"/>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数量</w:t>
            </w:r>
          </w:p>
        </w:tc>
        <w:tc>
          <w:tcPr>
            <w:tcW w:w="490" w:type="pct"/>
            <w:shd w:val="clear" w:color="auto" w:fill="BDD6EE" w:themeFill="accent1" w:themeFillTint="66"/>
            <w:noWrap/>
            <w:vAlign w:val="center"/>
          </w:tcPr>
          <w:p w14:paraId="4689E31C">
            <w:pPr>
              <w:spacing w:line="360" w:lineRule="exact"/>
              <w:jc w:val="center"/>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单位</w:t>
            </w:r>
          </w:p>
        </w:tc>
        <w:tc>
          <w:tcPr>
            <w:tcW w:w="1034" w:type="pct"/>
            <w:shd w:val="clear" w:color="auto" w:fill="BDD6EE" w:themeFill="accent1" w:themeFillTint="66"/>
            <w:noWrap/>
            <w:vAlign w:val="center"/>
          </w:tcPr>
          <w:p w14:paraId="75AE7C76">
            <w:pPr>
              <w:spacing w:line="360" w:lineRule="exact"/>
              <w:jc w:val="center"/>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财政预算限额（元）</w:t>
            </w:r>
          </w:p>
        </w:tc>
      </w:tr>
      <w:tr w14:paraId="39D0A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517" w:type="pct"/>
            <w:noWrap/>
            <w:vAlign w:val="center"/>
          </w:tcPr>
          <w:p w14:paraId="76311043">
            <w:pPr>
              <w:spacing w:line="360" w:lineRule="exact"/>
              <w:jc w:val="center"/>
              <w:rPr>
                <w:rFonts w:ascii="宋体" w:hAnsi="宋体" w:cs="宋体"/>
                <w:bCs/>
                <w:color w:val="000000" w:themeColor="text1"/>
                <w:sz w:val="22"/>
                <w:szCs w:val="22"/>
                <w:highlight w:val="none"/>
                <w14:textFill>
                  <w14:solidFill>
                    <w14:schemeClr w14:val="tx1"/>
                  </w14:solidFill>
                </w14:textFill>
              </w:rPr>
            </w:pPr>
            <w:r>
              <w:rPr>
                <w:rFonts w:hint="eastAsia" w:ascii="宋体" w:hAnsi="宋体" w:cs="宋体"/>
                <w:bCs/>
                <w:color w:val="000000" w:themeColor="text1"/>
                <w:sz w:val="22"/>
                <w:szCs w:val="22"/>
                <w:highlight w:val="none"/>
                <w14:textFill>
                  <w14:solidFill>
                    <w14:schemeClr w14:val="tx1"/>
                  </w14:solidFill>
                </w14:textFill>
              </w:rPr>
              <w:t>1</w:t>
            </w:r>
          </w:p>
        </w:tc>
        <w:tc>
          <w:tcPr>
            <w:tcW w:w="2449" w:type="pct"/>
            <w:noWrap/>
            <w:vAlign w:val="center"/>
          </w:tcPr>
          <w:p w14:paraId="182429A9">
            <w:pPr>
              <w:spacing w:line="360" w:lineRule="exact"/>
              <w:jc w:val="center"/>
              <w:rPr>
                <w:rFonts w:hint="eastAsia" w:ascii="宋体" w:hAnsi="宋体" w:eastAsia="宋体" w:cs="宋体"/>
                <w:color w:val="000000" w:themeColor="text1"/>
                <w:sz w:val="22"/>
                <w:szCs w:val="22"/>
                <w:highlight w:val="none"/>
                <w:lang w:eastAsia="zh-CN"/>
                <w14:textFill>
                  <w14:solidFill>
                    <w14:schemeClr w14:val="tx1"/>
                  </w14:solidFill>
                </w14:textFill>
              </w:rPr>
            </w:pPr>
            <w:r>
              <w:rPr>
                <w:rFonts w:hint="eastAsia" w:ascii="宋体" w:hAnsi="宋体" w:cs="宋体"/>
                <w:color w:val="000000" w:themeColor="text1"/>
                <w:sz w:val="22"/>
                <w:szCs w:val="22"/>
                <w:highlight w:val="none"/>
                <w:lang w:eastAsia="zh-CN"/>
                <w14:textFill>
                  <w14:solidFill>
                    <w14:schemeClr w14:val="tx1"/>
                  </w14:solidFill>
                </w14:textFill>
              </w:rPr>
              <w:t>食堂管理服务项目</w:t>
            </w:r>
          </w:p>
        </w:tc>
        <w:tc>
          <w:tcPr>
            <w:tcW w:w="508" w:type="pct"/>
            <w:noWrap/>
            <w:vAlign w:val="center"/>
          </w:tcPr>
          <w:p w14:paraId="3AD45032">
            <w:pPr>
              <w:spacing w:line="360" w:lineRule="exact"/>
              <w:jc w:val="cente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1</w:t>
            </w:r>
          </w:p>
        </w:tc>
        <w:tc>
          <w:tcPr>
            <w:tcW w:w="490" w:type="pct"/>
            <w:noWrap/>
            <w:vAlign w:val="center"/>
          </w:tcPr>
          <w:p w14:paraId="7B86ABFE">
            <w:pPr>
              <w:spacing w:line="360" w:lineRule="exact"/>
              <w:jc w:val="cente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项</w:t>
            </w:r>
          </w:p>
        </w:tc>
        <w:tc>
          <w:tcPr>
            <w:tcW w:w="1034" w:type="pct"/>
            <w:noWrap/>
            <w:vAlign w:val="center"/>
          </w:tcPr>
          <w:p w14:paraId="58A2F052">
            <w:pPr>
              <w:spacing w:line="360" w:lineRule="exact"/>
              <w:jc w:val="cente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b w:val="0"/>
                <w:bCs w:val="0"/>
                <w:color w:val="auto"/>
                <w:sz w:val="22"/>
                <w:szCs w:val="22"/>
                <w:highlight w:val="none"/>
                <w:lang w:val="en-US" w:eastAsia="zh-CN"/>
              </w:rPr>
              <w:t>985,000</w:t>
            </w:r>
            <w:r>
              <w:rPr>
                <w:rFonts w:hint="eastAsia" w:ascii="宋体" w:hAnsi="宋体" w:eastAsia="宋体" w:cs="宋体"/>
                <w:b w:val="0"/>
                <w:bCs w:val="0"/>
                <w:color w:val="auto"/>
                <w:sz w:val="22"/>
                <w:szCs w:val="22"/>
                <w:highlight w:val="none"/>
                <w:lang w:eastAsia="zh-CN"/>
              </w:rPr>
              <w:t>.00</w:t>
            </w:r>
          </w:p>
        </w:tc>
      </w:tr>
    </w:tbl>
    <w:p w14:paraId="10DF09D3">
      <w:pPr>
        <w:rPr>
          <w:rFonts w:ascii="宋体" w:hAnsi="宋体" w:cs="宋体"/>
          <w:color w:val="000000" w:themeColor="text1"/>
          <w:highlight w:val="none"/>
          <w14:textFill>
            <w14:solidFill>
              <w14:schemeClr w14:val="tx1"/>
            </w14:solidFill>
          </w14:textFill>
        </w:rPr>
      </w:pPr>
    </w:p>
    <w:p w14:paraId="1CF2A36E">
      <w:pPr>
        <w:rPr>
          <w:rFonts w:ascii="宋体" w:hAnsi="宋体" w:cs="宋体"/>
          <w:b/>
          <w:bCs/>
          <w:color w:val="000000" w:themeColor="text1"/>
          <w:sz w:val="22"/>
          <w:szCs w:val="22"/>
          <w:highlight w:val="none"/>
          <w14:textFill>
            <w14:solidFill>
              <w14:schemeClr w14:val="tx1"/>
            </w14:solidFill>
          </w14:textFill>
        </w:rPr>
      </w:pPr>
      <w:r>
        <w:rPr>
          <w:rFonts w:hint="eastAsia" w:ascii="宋体" w:hAnsi="宋体" w:cs="宋体"/>
          <w:b/>
          <w:bCs/>
          <w:color w:val="000000" w:themeColor="text1"/>
          <w:sz w:val="22"/>
          <w:szCs w:val="22"/>
          <w:highlight w:val="none"/>
          <w14:textFill>
            <w14:solidFill>
              <w14:schemeClr w14:val="tx1"/>
            </w14:solidFill>
          </w14:textFill>
        </w:rPr>
        <w:t xml:space="preserve"> </w:t>
      </w:r>
    </w:p>
    <w:p w14:paraId="2E904AEC">
      <w:p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b/>
          <w:bCs/>
          <w:color w:val="000000" w:themeColor="text1"/>
          <w:sz w:val="22"/>
          <w:szCs w:val="22"/>
          <w:highlight w:val="none"/>
          <w14:textFill>
            <w14:solidFill>
              <w14:schemeClr w14:val="tx1"/>
            </w14:solidFill>
          </w14:textFill>
        </w:rPr>
        <w:t>注：超出财政预算限额的投标报价将不被接受。</w:t>
      </w:r>
    </w:p>
    <w:p w14:paraId="78B37FEF">
      <w:pPr>
        <w:rPr>
          <w:color w:val="000000" w:themeColor="text1"/>
          <w:highlight w:val="none"/>
          <w14:textFill>
            <w14:solidFill>
              <w14:schemeClr w14:val="tx1"/>
            </w14:solidFill>
          </w14:textFill>
        </w:rPr>
      </w:pPr>
    </w:p>
    <w:p w14:paraId="572D67A2">
      <w:pPr>
        <w:pStyle w:val="3"/>
        <w:numPr>
          <w:ilvl w:val="0"/>
          <w:numId w:val="7"/>
        </w:numPr>
        <w:adjustRightInd/>
        <w:textAlignment w:val="auto"/>
        <w:rPr>
          <w:rFonts w:cs="宋体"/>
          <w:color w:val="000000" w:themeColor="text1"/>
          <w:sz w:val="32"/>
          <w:szCs w:val="32"/>
          <w:highlight w:val="none"/>
          <w14:textFill>
            <w14:solidFill>
              <w14:schemeClr w14:val="tx1"/>
            </w14:solidFill>
          </w14:textFill>
        </w:rPr>
      </w:pPr>
      <w:r>
        <w:rPr>
          <w:rFonts w:hint="eastAsia" w:cs="宋体"/>
          <w:color w:val="000000" w:themeColor="text1"/>
          <w:sz w:val="32"/>
          <w:szCs w:val="32"/>
          <w:highlight w:val="none"/>
          <w14:textFill>
            <w14:solidFill>
              <w14:schemeClr w14:val="tx1"/>
            </w14:solidFill>
          </w14:textFill>
        </w:rPr>
        <w:t>项目概况</w:t>
      </w:r>
    </w:p>
    <w:p w14:paraId="44A9EABE">
      <w:pPr>
        <w:rPr>
          <w:highlight w:val="none"/>
        </w:rPr>
      </w:pPr>
    </w:p>
    <w:p w14:paraId="68C8CF47">
      <w:pPr>
        <w:keepNext w:val="0"/>
        <w:keepLines w:val="0"/>
        <w:pageBreakBefore w:val="0"/>
        <w:widowControl w:val="0"/>
        <w:kinsoku/>
        <w:wordWrap/>
        <w:overflowPunct/>
        <w:topLinePunct w:val="0"/>
        <w:autoSpaceDE/>
        <w:autoSpaceDN/>
        <w:bidi w:val="0"/>
        <w:adjustRightInd/>
        <w:snapToGrid/>
        <w:spacing w:before="31" w:after="31" w:line="360" w:lineRule="auto"/>
        <w:ind w:firstLine="440" w:firstLineChars="200"/>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1.深圳市宝安区住房和建设事务中心食堂管理服务项目包括年度食堂管理服务和临时膳食保障服务。年度食堂管理服务由中标人在国家法定工作日提供，约250人用餐，中标人按采购人要求提供每周工作日早中晚用餐以及采购人要求的其他供餐服务。临时膳食保障服务由中标人在非国家法定工作日提供，具有不确定性，以采购人书面通知的用餐需求为准。</w:t>
      </w:r>
    </w:p>
    <w:p w14:paraId="6426617F">
      <w:pPr>
        <w:keepNext w:val="0"/>
        <w:keepLines w:val="0"/>
        <w:pageBreakBefore w:val="0"/>
        <w:widowControl w:val="0"/>
        <w:kinsoku/>
        <w:wordWrap/>
        <w:overflowPunct/>
        <w:topLinePunct w:val="0"/>
        <w:autoSpaceDE/>
        <w:autoSpaceDN/>
        <w:bidi w:val="0"/>
        <w:adjustRightInd/>
        <w:snapToGrid/>
        <w:spacing w:before="31" w:after="31" w:line="360" w:lineRule="auto"/>
        <w:ind w:firstLine="440" w:firstLineChars="200"/>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2.国家法定工作日开餐时间：早餐7：55-8：55；中餐12：00-13：15；晚餐18:00-19:00（特殊开餐时间视具体情况确定）。</w:t>
      </w:r>
    </w:p>
    <w:p w14:paraId="552DA539">
      <w:pPr>
        <w:keepNext w:val="0"/>
        <w:keepLines w:val="0"/>
        <w:pageBreakBefore w:val="0"/>
        <w:widowControl w:val="0"/>
        <w:kinsoku/>
        <w:wordWrap/>
        <w:overflowPunct/>
        <w:topLinePunct w:val="0"/>
        <w:autoSpaceDE/>
        <w:autoSpaceDN/>
        <w:bidi w:val="0"/>
        <w:adjustRightInd/>
        <w:snapToGrid/>
        <w:spacing w:before="31" w:after="31" w:line="360" w:lineRule="auto"/>
        <w:ind w:firstLine="440" w:firstLineChars="200"/>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采购人有权根据工作需求，调整上述国家法定工作日的开餐时间和中标人服务人员的工作时间，中标人须按照采购人要求予以全力保障。如采购人有其他临时性的膳食保障服务工作需要，中标人需无条件按照采购单位要求提供服务，全力保障解决。</w:t>
      </w:r>
    </w:p>
    <w:p w14:paraId="0035365D">
      <w:pPr>
        <w:keepNext w:val="0"/>
        <w:keepLines w:val="0"/>
        <w:pageBreakBefore w:val="0"/>
        <w:widowControl w:val="0"/>
        <w:kinsoku/>
        <w:wordWrap/>
        <w:overflowPunct/>
        <w:topLinePunct w:val="0"/>
        <w:autoSpaceDE/>
        <w:autoSpaceDN/>
        <w:bidi w:val="0"/>
        <w:adjustRightInd/>
        <w:snapToGrid/>
        <w:spacing w:before="31" w:after="31" w:line="360" w:lineRule="auto"/>
        <w:ind w:firstLine="440" w:firstLineChars="200"/>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3.</w:t>
      </w:r>
      <w:r>
        <w:rPr>
          <w:rFonts w:hint="default" w:ascii="宋体" w:hAnsi="宋体" w:cs="宋体"/>
          <w:sz w:val="22"/>
          <w:szCs w:val="22"/>
          <w:highlight w:val="none"/>
        </w:rPr>
        <w:t>采购人</w:t>
      </w:r>
      <w:r>
        <w:rPr>
          <w:rFonts w:hint="eastAsia" w:ascii="宋体" w:hAnsi="宋体" w:eastAsia="宋体" w:cs="宋体"/>
          <w:sz w:val="22"/>
          <w:szCs w:val="22"/>
          <w:highlight w:val="none"/>
        </w:rPr>
        <w:t>负责提供主副食原材料、厨房、厨具、水电、燃料，双方在交接时须进行盘点。</w:t>
      </w:r>
    </w:p>
    <w:p w14:paraId="1340CE73">
      <w:pPr>
        <w:pStyle w:val="10"/>
        <w:rPr>
          <w:highlight w:val="none"/>
        </w:rPr>
      </w:pPr>
    </w:p>
    <w:p w14:paraId="1C1749E1">
      <w:pPr>
        <w:pStyle w:val="3"/>
        <w:numPr>
          <w:ilvl w:val="0"/>
          <w:numId w:val="7"/>
        </w:numPr>
        <w:adjustRightInd/>
        <w:textAlignment w:val="auto"/>
        <w:rPr>
          <w:rFonts w:cs="宋体"/>
          <w:color w:val="000000" w:themeColor="text1"/>
          <w:szCs w:val="30"/>
          <w:highlight w:val="none"/>
          <w14:textFill>
            <w14:solidFill>
              <w14:schemeClr w14:val="tx1"/>
            </w14:solidFill>
          </w14:textFill>
        </w:rPr>
      </w:pPr>
      <w:r>
        <w:rPr>
          <w:rFonts w:hint="eastAsia" w:cs="宋体"/>
          <w:color w:val="000000" w:themeColor="text1"/>
          <w:szCs w:val="30"/>
          <w:highlight w:val="none"/>
          <w14:textFill>
            <w14:solidFill>
              <w14:schemeClr w14:val="tx1"/>
            </w14:solidFill>
          </w14:textFill>
        </w:rPr>
        <w:t>项目服务要求</w:t>
      </w:r>
    </w:p>
    <w:p w14:paraId="53A1BD82">
      <w:pPr>
        <w:ind w:firstLine="422" w:firstLineChars="200"/>
        <w:rPr>
          <w:b/>
          <w:highlight w:val="none"/>
        </w:rPr>
      </w:pPr>
      <w:r>
        <w:rPr>
          <w:rFonts w:hint="eastAsia"/>
          <w:b/>
          <w:szCs w:val="21"/>
          <w:highlight w:val="none"/>
        </w:rPr>
        <w:t>说明：带“</w:t>
      </w:r>
      <w:r>
        <w:rPr>
          <w:rFonts w:hint="eastAsia" w:ascii="宋体" w:hAnsi="宋体" w:cs="宋体"/>
          <w:b/>
          <w:szCs w:val="21"/>
          <w:highlight w:val="none"/>
        </w:rPr>
        <w:t>★</w:t>
      </w:r>
      <w:r>
        <w:rPr>
          <w:rFonts w:hint="eastAsia"/>
          <w:b/>
          <w:szCs w:val="21"/>
          <w:highlight w:val="none"/>
        </w:rPr>
        <w:t>”指标项为实质性条款，如出现负偏离，将被视为未实质性满足招标文件要求作投标无效处理。</w:t>
      </w:r>
    </w:p>
    <w:p w14:paraId="71667657">
      <w:pPr>
        <w:rPr>
          <w:highlight w:val="none"/>
        </w:rPr>
      </w:pPr>
    </w:p>
    <w:p w14:paraId="422F29CD">
      <w:pPr>
        <w:pStyle w:val="10"/>
        <w:keepNext w:val="0"/>
        <w:keepLines w:val="0"/>
        <w:pageBreakBefore w:val="0"/>
        <w:kinsoku/>
        <w:wordWrap/>
        <w:overflowPunct/>
        <w:topLinePunct w:val="0"/>
        <w:autoSpaceDE/>
        <w:autoSpaceDN/>
        <w:bidi w:val="0"/>
        <w:adjustRightInd/>
        <w:snapToGrid/>
        <w:spacing w:line="360" w:lineRule="auto"/>
        <w:ind w:firstLine="440" w:firstLineChars="200"/>
        <w:rPr>
          <w:rStyle w:val="57"/>
          <w:rFonts w:hint="eastAsia" w:ascii="宋体" w:hAnsi="宋体" w:eastAsia="宋体" w:cs="宋体"/>
          <w:b w:val="0"/>
          <w:i w:val="0"/>
          <w:caps w:val="0"/>
          <w:spacing w:val="0"/>
          <w:w w:val="100"/>
          <w:kern w:val="2"/>
          <w:sz w:val="22"/>
          <w:szCs w:val="22"/>
          <w:highlight w:val="none"/>
          <w:lang w:eastAsia="zh-CN" w:bidi="ar-SA"/>
        </w:rPr>
      </w:pPr>
      <w:r>
        <w:rPr>
          <w:rStyle w:val="57"/>
          <w:rFonts w:hint="eastAsia" w:ascii="宋体" w:hAnsi="宋体" w:eastAsia="宋体" w:cs="宋体"/>
          <w:b w:val="0"/>
          <w:i w:val="0"/>
          <w:caps w:val="0"/>
          <w:spacing w:val="0"/>
          <w:w w:val="100"/>
          <w:kern w:val="2"/>
          <w:sz w:val="22"/>
          <w:szCs w:val="22"/>
          <w:highlight w:val="none"/>
          <w:lang w:eastAsia="zh-CN" w:bidi="ar-SA"/>
        </w:rPr>
        <w:t>1.项目服务内容</w:t>
      </w:r>
    </w:p>
    <w:p w14:paraId="78CD207D">
      <w:pPr>
        <w:pStyle w:val="10"/>
        <w:keepNext w:val="0"/>
        <w:keepLines w:val="0"/>
        <w:pageBreakBefore w:val="0"/>
        <w:kinsoku/>
        <w:wordWrap/>
        <w:overflowPunct/>
        <w:topLinePunct w:val="0"/>
        <w:autoSpaceDE/>
        <w:autoSpaceDN/>
        <w:bidi w:val="0"/>
        <w:adjustRightInd/>
        <w:snapToGrid/>
        <w:spacing w:line="360" w:lineRule="auto"/>
        <w:ind w:firstLine="440" w:firstLineChars="200"/>
        <w:rPr>
          <w:rStyle w:val="57"/>
          <w:rFonts w:hint="eastAsia" w:ascii="宋体" w:hAnsi="宋体" w:eastAsia="宋体" w:cs="宋体"/>
          <w:b w:val="0"/>
          <w:i w:val="0"/>
          <w:caps w:val="0"/>
          <w:spacing w:val="0"/>
          <w:w w:val="100"/>
          <w:kern w:val="2"/>
          <w:sz w:val="22"/>
          <w:szCs w:val="22"/>
          <w:highlight w:val="none"/>
          <w:lang w:eastAsia="zh-CN" w:bidi="ar-SA"/>
        </w:rPr>
      </w:pPr>
      <w:r>
        <w:rPr>
          <w:rStyle w:val="57"/>
          <w:rFonts w:hint="eastAsia" w:ascii="宋体" w:hAnsi="宋体" w:eastAsia="宋体" w:cs="宋体"/>
          <w:b w:val="0"/>
          <w:i w:val="0"/>
          <w:caps w:val="0"/>
          <w:spacing w:val="0"/>
          <w:w w:val="100"/>
          <w:kern w:val="2"/>
          <w:sz w:val="22"/>
          <w:szCs w:val="22"/>
          <w:highlight w:val="none"/>
          <w:lang w:eastAsia="zh-CN" w:bidi="ar-SA"/>
        </w:rPr>
        <w:t>中标人负责采购人食堂的日常用餐服务管理，包含生产加工及烹饪、食谱制定、供餐方式优化、食品卫生管理以及就餐环境卫生管理等工作。</w:t>
      </w:r>
    </w:p>
    <w:p w14:paraId="6EFAFBAB">
      <w:pPr>
        <w:pStyle w:val="10"/>
        <w:keepNext w:val="0"/>
        <w:keepLines w:val="0"/>
        <w:pageBreakBefore w:val="0"/>
        <w:kinsoku/>
        <w:wordWrap/>
        <w:overflowPunct/>
        <w:topLinePunct w:val="0"/>
        <w:autoSpaceDE/>
        <w:autoSpaceDN/>
        <w:bidi w:val="0"/>
        <w:adjustRightInd/>
        <w:snapToGrid/>
        <w:spacing w:line="360" w:lineRule="auto"/>
        <w:ind w:firstLine="442" w:firstLineChars="200"/>
        <w:rPr>
          <w:rStyle w:val="57"/>
          <w:rFonts w:hint="eastAsia" w:ascii="宋体" w:hAnsi="宋体" w:eastAsia="宋体" w:cs="宋体"/>
          <w:b/>
          <w:bCs w:val="0"/>
          <w:i w:val="0"/>
          <w:caps w:val="0"/>
          <w:spacing w:val="0"/>
          <w:w w:val="100"/>
          <w:kern w:val="2"/>
          <w:sz w:val="22"/>
          <w:szCs w:val="22"/>
          <w:highlight w:val="none"/>
          <w:lang w:eastAsia="zh-CN" w:bidi="ar-SA"/>
        </w:rPr>
      </w:pPr>
      <w:r>
        <w:rPr>
          <w:rStyle w:val="57"/>
          <w:rFonts w:hint="eastAsia" w:ascii="宋体" w:hAnsi="宋体" w:eastAsia="宋体" w:cs="宋体"/>
          <w:b/>
          <w:bCs w:val="0"/>
          <w:i w:val="0"/>
          <w:caps w:val="0"/>
          <w:spacing w:val="0"/>
          <w:w w:val="100"/>
          <w:kern w:val="2"/>
          <w:sz w:val="22"/>
          <w:szCs w:val="22"/>
          <w:highlight w:val="none"/>
          <w:lang w:eastAsia="zh-CN" w:bidi="ar-SA"/>
        </w:rPr>
        <w:t>2.</w:t>
      </w:r>
      <w:r>
        <w:rPr>
          <w:rStyle w:val="57"/>
          <w:rFonts w:hint="eastAsia" w:ascii="华文仿宋" w:hAnsi="华文仿宋" w:eastAsia="华文仿宋" w:cs="华文仿宋"/>
          <w:b/>
          <w:bCs w:val="0"/>
          <w:i w:val="0"/>
          <w:caps w:val="0"/>
          <w:spacing w:val="0"/>
          <w:w w:val="100"/>
          <w:kern w:val="2"/>
          <w:sz w:val="22"/>
          <w:szCs w:val="22"/>
          <w:highlight w:val="none"/>
          <w:lang w:eastAsia="zh-CN" w:bidi="ar-SA"/>
        </w:rPr>
        <w:t>★</w:t>
      </w:r>
      <w:r>
        <w:rPr>
          <w:rStyle w:val="57"/>
          <w:rFonts w:hint="eastAsia" w:ascii="宋体" w:hAnsi="宋体" w:eastAsia="宋体" w:cs="宋体"/>
          <w:b/>
          <w:bCs w:val="0"/>
          <w:i w:val="0"/>
          <w:caps w:val="0"/>
          <w:spacing w:val="0"/>
          <w:w w:val="100"/>
          <w:kern w:val="2"/>
          <w:sz w:val="22"/>
          <w:szCs w:val="22"/>
          <w:highlight w:val="none"/>
          <w:lang w:eastAsia="zh-CN" w:bidi="ar-SA"/>
        </w:rPr>
        <w:t>项目人员配备要求</w:t>
      </w:r>
    </w:p>
    <w:p w14:paraId="0162B8AD">
      <w:pPr>
        <w:pStyle w:val="10"/>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textAlignment w:val="auto"/>
        <w:rPr>
          <w:rStyle w:val="57"/>
          <w:rFonts w:hint="eastAsia" w:ascii="宋体" w:hAnsi="宋体" w:eastAsia="宋体" w:cs="宋体"/>
          <w:b w:val="0"/>
          <w:i w:val="0"/>
          <w:caps w:val="0"/>
          <w:spacing w:val="0"/>
          <w:w w:val="100"/>
          <w:kern w:val="2"/>
          <w:sz w:val="22"/>
          <w:szCs w:val="22"/>
          <w:highlight w:val="none"/>
          <w:lang w:eastAsia="zh-CN" w:bidi="ar-SA"/>
        </w:rPr>
      </w:pPr>
      <w:r>
        <w:rPr>
          <w:rStyle w:val="57"/>
          <w:rFonts w:hint="eastAsia" w:ascii="宋体" w:hAnsi="宋体" w:eastAsia="宋体" w:cs="宋体"/>
          <w:b w:val="0"/>
          <w:i w:val="0"/>
          <w:caps w:val="0"/>
          <w:spacing w:val="0"/>
          <w:w w:val="100"/>
          <w:kern w:val="2"/>
          <w:sz w:val="22"/>
          <w:szCs w:val="22"/>
          <w:highlight w:val="none"/>
          <w:lang w:eastAsia="zh-CN" w:bidi="ar-SA"/>
        </w:rPr>
        <w:t>①本项目食堂共需配置服务人员不得少于11人，其中厨师6</w:t>
      </w:r>
      <w:r>
        <w:rPr>
          <w:rStyle w:val="57"/>
          <w:rFonts w:hint="default" w:ascii="宋体" w:hAnsi="宋体" w:cs="宋体"/>
          <w:b w:val="0"/>
          <w:i w:val="0"/>
          <w:caps w:val="0"/>
          <w:spacing w:val="0"/>
          <w:w w:val="100"/>
          <w:kern w:val="2"/>
          <w:sz w:val="22"/>
          <w:szCs w:val="22"/>
          <w:highlight w:val="none"/>
          <w:lang w:eastAsia="zh-CN" w:bidi="ar-SA"/>
        </w:rPr>
        <w:t>人</w:t>
      </w:r>
      <w:r>
        <w:rPr>
          <w:rStyle w:val="57"/>
          <w:rFonts w:hint="eastAsia" w:ascii="宋体" w:hAnsi="宋体" w:eastAsia="宋体" w:cs="宋体"/>
          <w:b w:val="0"/>
          <w:i w:val="0"/>
          <w:caps w:val="0"/>
          <w:spacing w:val="0"/>
          <w:w w:val="100"/>
          <w:kern w:val="2"/>
          <w:sz w:val="22"/>
          <w:szCs w:val="22"/>
          <w:highlight w:val="none"/>
          <w:lang w:eastAsia="zh-CN" w:bidi="ar-SA"/>
        </w:rPr>
        <w:t>（含主厨1人、大厨3人、中式面点师1人、西式面点师1人），勤杂服务人员5人。</w:t>
      </w:r>
    </w:p>
    <w:tbl>
      <w:tblPr>
        <w:tblStyle w:val="2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6"/>
        <w:gridCol w:w="846"/>
        <w:gridCol w:w="6584"/>
      </w:tblGrid>
      <w:tr w14:paraId="3DB58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643" w:type="pct"/>
            <w:noWrap w:val="0"/>
            <w:vAlign w:val="top"/>
          </w:tcPr>
          <w:p w14:paraId="245812B1">
            <w:pPr>
              <w:pStyle w:val="10"/>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highlight w:val="none"/>
                <w:vertAlign w:val="baseline"/>
                <w:lang w:val="en-US" w:eastAsia="zh-CN"/>
              </w:rPr>
            </w:pPr>
            <w:r>
              <w:rPr>
                <w:rFonts w:hint="eastAsia" w:ascii="宋体" w:hAnsi="宋体" w:eastAsia="宋体" w:cs="宋体"/>
                <w:sz w:val="22"/>
                <w:szCs w:val="22"/>
                <w:highlight w:val="none"/>
                <w:vertAlign w:val="baseline"/>
                <w:lang w:val="en-US" w:eastAsia="zh-CN"/>
              </w:rPr>
              <w:t>岗位</w:t>
            </w:r>
          </w:p>
        </w:tc>
        <w:tc>
          <w:tcPr>
            <w:tcW w:w="496" w:type="pct"/>
            <w:noWrap w:val="0"/>
            <w:vAlign w:val="top"/>
          </w:tcPr>
          <w:p w14:paraId="4E063648">
            <w:pPr>
              <w:pStyle w:val="10"/>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highlight w:val="none"/>
                <w:vertAlign w:val="baseline"/>
                <w:lang w:val="en-US" w:eastAsia="zh-CN"/>
              </w:rPr>
            </w:pPr>
            <w:r>
              <w:rPr>
                <w:rFonts w:hint="eastAsia" w:ascii="宋体" w:hAnsi="宋体" w:eastAsia="宋体" w:cs="宋体"/>
                <w:sz w:val="22"/>
                <w:szCs w:val="22"/>
                <w:highlight w:val="none"/>
                <w:vertAlign w:val="baseline"/>
                <w:lang w:val="en-US" w:eastAsia="zh-CN"/>
              </w:rPr>
              <w:t>人数</w:t>
            </w:r>
          </w:p>
        </w:tc>
        <w:tc>
          <w:tcPr>
            <w:tcW w:w="3860" w:type="pct"/>
            <w:noWrap w:val="0"/>
            <w:vAlign w:val="top"/>
          </w:tcPr>
          <w:p w14:paraId="38121A95">
            <w:pPr>
              <w:pStyle w:val="10"/>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2"/>
                <w:szCs w:val="22"/>
                <w:highlight w:val="none"/>
                <w:vertAlign w:val="baseline"/>
              </w:rPr>
            </w:pPr>
            <w:r>
              <w:rPr>
                <w:rFonts w:hint="eastAsia" w:ascii="宋体" w:hAnsi="宋体" w:eastAsia="宋体" w:cs="宋体"/>
                <w:sz w:val="22"/>
                <w:szCs w:val="22"/>
                <w:highlight w:val="none"/>
                <w:vertAlign w:val="baseline"/>
                <w:lang w:val="en-US" w:eastAsia="zh-CN"/>
              </w:rPr>
              <w:t>岗位职责</w:t>
            </w:r>
            <w:r>
              <w:rPr>
                <w:rFonts w:hint="default" w:ascii="宋体" w:hAnsi="宋体" w:cs="宋体"/>
                <w:sz w:val="22"/>
                <w:szCs w:val="22"/>
                <w:highlight w:val="none"/>
                <w:vertAlign w:val="baseline"/>
                <w:lang w:eastAsia="zh-CN"/>
              </w:rPr>
              <w:t>以及要求</w:t>
            </w:r>
          </w:p>
        </w:tc>
      </w:tr>
      <w:tr w14:paraId="3591B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trPr>
        <w:tc>
          <w:tcPr>
            <w:tcW w:w="643" w:type="pct"/>
            <w:noWrap w:val="0"/>
            <w:vAlign w:val="center"/>
          </w:tcPr>
          <w:p w14:paraId="6E6254EA">
            <w:pPr>
              <w:keepNext w:val="0"/>
              <w:keepLines w:val="0"/>
              <w:pageBreakBefore w:val="0"/>
              <w:widowControl w:val="0"/>
              <w:kinsoku/>
              <w:wordWrap/>
              <w:overflowPunct/>
              <w:topLinePunct w:val="0"/>
              <w:autoSpaceDE/>
              <w:autoSpaceDN/>
              <w:bidi w:val="0"/>
              <w:adjustRightInd/>
              <w:snapToGrid/>
              <w:spacing w:after="60" w:line="360" w:lineRule="auto"/>
              <w:jc w:val="center"/>
              <w:textAlignment w:val="auto"/>
              <w:rPr>
                <w:rFonts w:hint="eastAsia" w:ascii="宋体" w:hAnsi="宋体" w:eastAsia="宋体" w:cs="宋体"/>
                <w:b/>
                <w:bCs/>
                <w:color w:val="000000"/>
                <w:sz w:val="22"/>
                <w:szCs w:val="22"/>
                <w:highlight w:val="none"/>
                <w:lang w:val="en-US" w:eastAsia="zh-CN"/>
              </w:rPr>
            </w:pPr>
            <w:r>
              <w:rPr>
                <w:rFonts w:hint="eastAsia" w:ascii="宋体" w:hAnsi="宋体" w:eastAsia="宋体" w:cs="宋体"/>
                <w:b/>
                <w:bCs/>
                <w:color w:val="000000"/>
                <w:sz w:val="22"/>
                <w:szCs w:val="22"/>
                <w:highlight w:val="none"/>
                <w:lang w:val="en-US" w:eastAsia="zh-CN"/>
              </w:rPr>
              <w:t>主厨</w:t>
            </w:r>
          </w:p>
        </w:tc>
        <w:tc>
          <w:tcPr>
            <w:tcW w:w="496" w:type="pct"/>
            <w:noWrap w:val="0"/>
            <w:vAlign w:val="center"/>
          </w:tcPr>
          <w:p w14:paraId="468AFAC3">
            <w:pPr>
              <w:keepNext w:val="0"/>
              <w:keepLines w:val="0"/>
              <w:pageBreakBefore w:val="0"/>
              <w:widowControl w:val="0"/>
              <w:kinsoku/>
              <w:wordWrap/>
              <w:overflowPunct/>
              <w:topLinePunct w:val="0"/>
              <w:autoSpaceDE/>
              <w:autoSpaceDN/>
              <w:bidi w:val="0"/>
              <w:adjustRightInd/>
              <w:snapToGrid/>
              <w:spacing w:after="60" w:line="360" w:lineRule="auto"/>
              <w:jc w:val="center"/>
              <w:textAlignment w:val="auto"/>
              <w:rPr>
                <w:rFonts w:hint="eastAsia" w:ascii="宋体" w:hAnsi="宋体" w:eastAsia="宋体" w:cs="宋体"/>
                <w:b/>
                <w:bCs/>
                <w:color w:val="000000"/>
                <w:sz w:val="22"/>
                <w:szCs w:val="22"/>
                <w:highlight w:val="none"/>
                <w:lang w:val="en-US" w:eastAsia="zh-CN"/>
              </w:rPr>
            </w:pPr>
            <w:r>
              <w:rPr>
                <w:rFonts w:hint="eastAsia" w:ascii="宋体" w:hAnsi="宋体" w:eastAsia="宋体" w:cs="宋体"/>
                <w:b/>
                <w:bCs/>
                <w:color w:val="000000"/>
                <w:sz w:val="22"/>
                <w:szCs w:val="22"/>
                <w:highlight w:val="none"/>
                <w:lang w:val="en-US" w:eastAsia="zh-CN"/>
              </w:rPr>
              <w:t>1</w:t>
            </w:r>
          </w:p>
        </w:tc>
        <w:tc>
          <w:tcPr>
            <w:tcW w:w="3860" w:type="pct"/>
            <w:noWrap w:val="0"/>
            <w:vAlign w:val="top"/>
          </w:tcPr>
          <w:p w14:paraId="08A3B55B">
            <w:pPr>
              <w:keepNext w:val="0"/>
              <w:keepLines w:val="0"/>
              <w:pageBreakBefore w:val="0"/>
              <w:widowControl w:val="0"/>
              <w:kinsoku/>
              <w:wordWrap/>
              <w:overflowPunct/>
              <w:topLinePunct w:val="0"/>
              <w:autoSpaceDE/>
              <w:autoSpaceDN/>
              <w:bidi w:val="0"/>
              <w:adjustRightInd/>
              <w:snapToGrid/>
              <w:spacing w:after="60" w:line="360" w:lineRule="auto"/>
              <w:jc w:val="both"/>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lang w:val="en-US" w:eastAsia="zh-CN"/>
              </w:rPr>
              <w:t>全面负责项目日常餐饮服务工作</w:t>
            </w: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lang w:val="en-US" w:eastAsia="zh-CN"/>
              </w:rPr>
              <w:t>有酒店餐饮或酒楼同岗位</w:t>
            </w:r>
            <w:r>
              <w:rPr>
                <w:rFonts w:hint="eastAsia" w:ascii="宋体" w:hAnsi="宋体" w:eastAsia="宋体" w:cs="宋体"/>
                <w:color w:val="000000"/>
                <w:sz w:val="22"/>
                <w:szCs w:val="22"/>
                <w:highlight w:val="none"/>
                <w:lang w:eastAsia="zh-CN"/>
              </w:rPr>
              <w:t>3</w:t>
            </w:r>
            <w:r>
              <w:rPr>
                <w:rFonts w:hint="eastAsia" w:ascii="宋体" w:hAnsi="宋体" w:eastAsia="宋体" w:cs="宋体"/>
                <w:color w:val="000000"/>
                <w:sz w:val="22"/>
                <w:szCs w:val="22"/>
                <w:highlight w:val="none"/>
                <w:lang w:val="en-US" w:eastAsia="zh-CN"/>
              </w:rPr>
              <w:t>年以上管理工作经验、食品安全管理知识，还需具有扎实的厨艺能力、清晰的表达沟通能力、</w:t>
            </w:r>
            <w:r>
              <w:rPr>
                <w:rFonts w:hint="default" w:ascii="宋体" w:hAnsi="宋体" w:cs="宋体"/>
                <w:color w:val="000000"/>
                <w:sz w:val="22"/>
                <w:szCs w:val="22"/>
                <w:highlight w:val="none"/>
                <w:lang w:eastAsia="zh-CN"/>
              </w:rPr>
              <w:t>较强</w:t>
            </w:r>
            <w:r>
              <w:rPr>
                <w:rFonts w:hint="eastAsia" w:ascii="宋体" w:hAnsi="宋体" w:eastAsia="宋体" w:cs="宋体"/>
                <w:color w:val="000000"/>
                <w:sz w:val="22"/>
                <w:szCs w:val="22"/>
                <w:highlight w:val="none"/>
                <w:lang w:val="en-US" w:eastAsia="zh-CN"/>
              </w:rPr>
              <w:t>的耐心和毅力以及应急处理能力。</w:t>
            </w:r>
          </w:p>
        </w:tc>
      </w:tr>
      <w:tr w14:paraId="323BB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643" w:type="pct"/>
            <w:noWrap w:val="0"/>
            <w:vAlign w:val="center"/>
          </w:tcPr>
          <w:p w14:paraId="2796DC04">
            <w:pPr>
              <w:keepNext w:val="0"/>
              <w:keepLines w:val="0"/>
              <w:pageBreakBefore w:val="0"/>
              <w:widowControl w:val="0"/>
              <w:kinsoku/>
              <w:wordWrap/>
              <w:overflowPunct/>
              <w:topLinePunct w:val="0"/>
              <w:autoSpaceDE/>
              <w:autoSpaceDN/>
              <w:bidi w:val="0"/>
              <w:adjustRightInd/>
              <w:snapToGrid/>
              <w:spacing w:after="60" w:line="360" w:lineRule="auto"/>
              <w:jc w:val="center"/>
              <w:textAlignment w:val="auto"/>
              <w:rPr>
                <w:rFonts w:hint="eastAsia" w:ascii="宋体" w:hAnsi="宋体" w:eastAsia="宋体" w:cs="宋体"/>
                <w:b/>
                <w:bCs/>
                <w:color w:val="000000"/>
                <w:sz w:val="22"/>
                <w:szCs w:val="22"/>
                <w:highlight w:val="none"/>
                <w:lang w:val="en-US" w:eastAsia="zh-CN"/>
              </w:rPr>
            </w:pPr>
            <w:r>
              <w:rPr>
                <w:rFonts w:hint="eastAsia" w:ascii="宋体" w:hAnsi="宋体" w:eastAsia="宋体" w:cs="宋体"/>
                <w:b/>
                <w:bCs/>
                <w:color w:val="000000"/>
                <w:sz w:val="22"/>
                <w:szCs w:val="22"/>
                <w:highlight w:val="none"/>
                <w:lang w:eastAsia="zh-CN"/>
              </w:rPr>
              <w:t>大</w:t>
            </w:r>
            <w:r>
              <w:rPr>
                <w:rFonts w:hint="eastAsia" w:ascii="宋体" w:hAnsi="宋体" w:eastAsia="宋体" w:cs="宋体"/>
                <w:b/>
                <w:bCs/>
                <w:color w:val="000000"/>
                <w:sz w:val="22"/>
                <w:szCs w:val="22"/>
                <w:highlight w:val="none"/>
                <w:lang w:val="en-US" w:eastAsia="zh-CN"/>
              </w:rPr>
              <w:t>厨</w:t>
            </w:r>
          </w:p>
        </w:tc>
        <w:tc>
          <w:tcPr>
            <w:tcW w:w="496" w:type="pct"/>
            <w:noWrap w:val="0"/>
            <w:vAlign w:val="center"/>
          </w:tcPr>
          <w:p w14:paraId="14B70017">
            <w:pPr>
              <w:keepNext w:val="0"/>
              <w:keepLines w:val="0"/>
              <w:pageBreakBefore w:val="0"/>
              <w:widowControl w:val="0"/>
              <w:kinsoku/>
              <w:wordWrap/>
              <w:overflowPunct/>
              <w:topLinePunct w:val="0"/>
              <w:autoSpaceDE/>
              <w:autoSpaceDN/>
              <w:bidi w:val="0"/>
              <w:adjustRightInd/>
              <w:snapToGrid/>
              <w:spacing w:after="60" w:line="360" w:lineRule="auto"/>
              <w:jc w:val="center"/>
              <w:textAlignment w:val="auto"/>
              <w:rPr>
                <w:rFonts w:hint="eastAsia" w:ascii="宋体" w:hAnsi="宋体" w:eastAsia="宋体" w:cs="宋体"/>
                <w:b/>
                <w:bCs/>
                <w:color w:val="000000"/>
                <w:sz w:val="22"/>
                <w:szCs w:val="22"/>
                <w:highlight w:val="none"/>
                <w:lang w:eastAsia="zh-CN"/>
              </w:rPr>
            </w:pPr>
            <w:r>
              <w:rPr>
                <w:rFonts w:hint="eastAsia" w:ascii="宋体" w:hAnsi="宋体" w:eastAsia="宋体" w:cs="宋体"/>
                <w:b/>
                <w:bCs/>
                <w:color w:val="000000"/>
                <w:sz w:val="22"/>
                <w:szCs w:val="22"/>
                <w:highlight w:val="none"/>
                <w:lang w:eastAsia="zh-CN"/>
              </w:rPr>
              <w:t>3</w:t>
            </w:r>
          </w:p>
        </w:tc>
        <w:tc>
          <w:tcPr>
            <w:tcW w:w="3860" w:type="pct"/>
            <w:noWrap w:val="0"/>
            <w:vAlign w:val="top"/>
          </w:tcPr>
          <w:p w14:paraId="14621FD1">
            <w:pPr>
              <w:keepNext w:val="0"/>
              <w:keepLines w:val="0"/>
              <w:pageBreakBefore w:val="0"/>
              <w:widowControl w:val="0"/>
              <w:kinsoku/>
              <w:wordWrap/>
              <w:overflowPunct/>
              <w:topLinePunct w:val="0"/>
              <w:autoSpaceDE/>
              <w:autoSpaceDN/>
              <w:bidi w:val="0"/>
              <w:adjustRightInd/>
              <w:snapToGrid/>
              <w:spacing w:after="60" w:line="360" w:lineRule="auto"/>
              <w:jc w:val="both"/>
              <w:textAlignment w:val="auto"/>
              <w:rPr>
                <w:rFonts w:hint="eastAsia" w:ascii="宋体" w:hAnsi="宋体" w:eastAsia="宋体" w:cs="宋体"/>
                <w:color w:val="000000"/>
                <w:sz w:val="22"/>
                <w:szCs w:val="22"/>
                <w:highlight w:val="none"/>
                <w:lang w:val="en-US" w:eastAsia="zh-CN"/>
              </w:rPr>
            </w:pPr>
            <w:r>
              <w:rPr>
                <w:rFonts w:hint="eastAsia" w:ascii="宋体" w:hAnsi="宋体" w:eastAsia="宋体" w:cs="宋体"/>
                <w:color w:val="000000"/>
                <w:sz w:val="22"/>
                <w:szCs w:val="22"/>
                <w:highlight w:val="none"/>
                <w:lang w:val="en-US" w:eastAsia="zh-CN"/>
              </w:rPr>
              <w:t>有较好的粤菜、川湘菜烹炒技能，良好的沟通能力,协助好</w:t>
            </w:r>
            <w:r>
              <w:rPr>
                <w:rFonts w:hint="default" w:ascii="宋体" w:hAnsi="宋体" w:cs="宋体"/>
                <w:color w:val="000000"/>
                <w:sz w:val="22"/>
                <w:szCs w:val="22"/>
                <w:highlight w:val="none"/>
                <w:lang w:eastAsia="zh-CN"/>
              </w:rPr>
              <w:t>主厨</w:t>
            </w:r>
            <w:r>
              <w:rPr>
                <w:rFonts w:hint="eastAsia" w:ascii="宋体" w:hAnsi="宋体" w:eastAsia="宋体" w:cs="宋体"/>
                <w:color w:val="000000"/>
                <w:sz w:val="22"/>
                <w:szCs w:val="22"/>
                <w:highlight w:val="none"/>
                <w:lang w:val="en-US" w:eastAsia="zh-CN"/>
              </w:rPr>
              <w:t>做好项目菜品品质。</w:t>
            </w:r>
          </w:p>
        </w:tc>
      </w:tr>
      <w:tr w14:paraId="3177B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643" w:type="pct"/>
            <w:noWrap w:val="0"/>
            <w:vAlign w:val="center"/>
          </w:tcPr>
          <w:p w14:paraId="0B497AF1">
            <w:pPr>
              <w:keepNext w:val="0"/>
              <w:keepLines w:val="0"/>
              <w:pageBreakBefore w:val="0"/>
              <w:widowControl w:val="0"/>
              <w:kinsoku/>
              <w:wordWrap/>
              <w:overflowPunct/>
              <w:topLinePunct w:val="0"/>
              <w:autoSpaceDE/>
              <w:autoSpaceDN/>
              <w:bidi w:val="0"/>
              <w:adjustRightInd/>
              <w:snapToGrid/>
              <w:spacing w:after="60" w:line="360" w:lineRule="auto"/>
              <w:jc w:val="center"/>
              <w:textAlignment w:val="auto"/>
              <w:rPr>
                <w:rFonts w:hint="eastAsia" w:ascii="宋体" w:hAnsi="宋体" w:eastAsia="宋体" w:cs="宋体"/>
                <w:b/>
                <w:bCs/>
                <w:color w:val="000000"/>
                <w:sz w:val="22"/>
                <w:szCs w:val="22"/>
                <w:highlight w:val="none"/>
                <w:lang w:val="en-US" w:eastAsia="zh-CN"/>
              </w:rPr>
            </w:pPr>
            <w:r>
              <w:rPr>
                <w:rFonts w:hint="eastAsia" w:ascii="宋体" w:hAnsi="宋体" w:eastAsia="宋体" w:cs="宋体"/>
                <w:b/>
                <w:bCs/>
                <w:color w:val="000000"/>
                <w:sz w:val="22"/>
                <w:szCs w:val="22"/>
                <w:highlight w:val="none"/>
                <w:lang w:val="en-US" w:eastAsia="zh-CN"/>
              </w:rPr>
              <w:t>中式面点师</w:t>
            </w:r>
          </w:p>
        </w:tc>
        <w:tc>
          <w:tcPr>
            <w:tcW w:w="496" w:type="pct"/>
            <w:noWrap w:val="0"/>
            <w:vAlign w:val="center"/>
          </w:tcPr>
          <w:p w14:paraId="4CAD0372">
            <w:pPr>
              <w:keepNext w:val="0"/>
              <w:keepLines w:val="0"/>
              <w:pageBreakBefore w:val="0"/>
              <w:widowControl w:val="0"/>
              <w:kinsoku/>
              <w:wordWrap/>
              <w:overflowPunct/>
              <w:topLinePunct w:val="0"/>
              <w:autoSpaceDE/>
              <w:autoSpaceDN/>
              <w:bidi w:val="0"/>
              <w:adjustRightInd/>
              <w:snapToGrid/>
              <w:spacing w:after="60" w:line="360" w:lineRule="auto"/>
              <w:ind w:left="-193"/>
              <w:jc w:val="center"/>
              <w:textAlignment w:val="auto"/>
              <w:rPr>
                <w:rFonts w:hint="eastAsia" w:ascii="宋体" w:hAnsi="宋体" w:eastAsia="宋体" w:cs="宋体"/>
                <w:b/>
                <w:bCs/>
                <w:color w:val="000000"/>
                <w:sz w:val="22"/>
                <w:szCs w:val="22"/>
                <w:highlight w:val="none"/>
                <w:lang w:eastAsia="zh-CN"/>
              </w:rPr>
            </w:pPr>
            <w:r>
              <w:rPr>
                <w:rFonts w:hint="eastAsia" w:ascii="宋体" w:hAnsi="宋体" w:eastAsia="宋体" w:cs="宋体"/>
                <w:b/>
                <w:bCs/>
                <w:color w:val="000000"/>
                <w:sz w:val="22"/>
                <w:szCs w:val="22"/>
                <w:highlight w:val="none"/>
                <w:lang w:eastAsia="zh-CN"/>
              </w:rPr>
              <w:t>1</w:t>
            </w:r>
          </w:p>
        </w:tc>
        <w:tc>
          <w:tcPr>
            <w:tcW w:w="3860" w:type="pct"/>
            <w:noWrap w:val="0"/>
            <w:vAlign w:val="top"/>
          </w:tcPr>
          <w:p w14:paraId="62BE9D88">
            <w:pPr>
              <w:keepNext w:val="0"/>
              <w:keepLines w:val="0"/>
              <w:pageBreakBefore w:val="0"/>
              <w:widowControl w:val="0"/>
              <w:kinsoku/>
              <w:wordWrap/>
              <w:overflowPunct/>
              <w:topLinePunct w:val="0"/>
              <w:autoSpaceDE/>
              <w:autoSpaceDN/>
              <w:bidi w:val="0"/>
              <w:adjustRightInd/>
              <w:snapToGrid/>
              <w:spacing w:after="60" w:line="360" w:lineRule="auto"/>
              <w:jc w:val="both"/>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lang w:val="en-US" w:eastAsia="zh-CN"/>
              </w:rPr>
              <w:t>具有专业的南北面点制作经验以及有爱岗敬业、吃苦耐劳的能力。熟悉家常的手工面食、水饺、包点的制作等。</w:t>
            </w:r>
          </w:p>
        </w:tc>
      </w:tr>
      <w:tr w14:paraId="2FCD2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pct"/>
            <w:noWrap w:val="0"/>
            <w:vAlign w:val="center"/>
          </w:tcPr>
          <w:p w14:paraId="4D0FDD0E">
            <w:pPr>
              <w:keepNext w:val="0"/>
              <w:keepLines w:val="0"/>
              <w:pageBreakBefore w:val="0"/>
              <w:widowControl w:val="0"/>
              <w:kinsoku/>
              <w:wordWrap/>
              <w:overflowPunct/>
              <w:topLinePunct w:val="0"/>
              <w:autoSpaceDE/>
              <w:autoSpaceDN/>
              <w:bidi w:val="0"/>
              <w:adjustRightInd/>
              <w:snapToGrid/>
              <w:spacing w:after="60" w:line="360" w:lineRule="auto"/>
              <w:jc w:val="center"/>
              <w:textAlignment w:val="auto"/>
              <w:rPr>
                <w:rFonts w:hint="eastAsia" w:ascii="宋体" w:hAnsi="宋体" w:eastAsia="宋体" w:cs="宋体"/>
                <w:b/>
                <w:bCs/>
                <w:color w:val="000000"/>
                <w:sz w:val="22"/>
                <w:szCs w:val="22"/>
                <w:highlight w:val="none"/>
                <w:lang w:val="en-US" w:eastAsia="zh-CN"/>
              </w:rPr>
            </w:pPr>
            <w:r>
              <w:rPr>
                <w:rFonts w:hint="eastAsia" w:ascii="宋体" w:hAnsi="宋体" w:eastAsia="宋体" w:cs="宋体"/>
                <w:b/>
                <w:bCs/>
                <w:color w:val="000000"/>
                <w:sz w:val="22"/>
                <w:szCs w:val="22"/>
                <w:highlight w:val="none"/>
                <w:lang w:eastAsia="zh-CN"/>
              </w:rPr>
              <w:t>西</w:t>
            </w:r>
            <w:r>
              <w:rPr>
                <w:rFonts w:hint="eastAsia" w:ascii="宋体" w:hAnsi="宋体" w:eastAsia="宋体" w:cs="宋体"/>
                <w:b/>
                <w:bCs/>
                <w:color w:val="000000"/>
                <w:sz w:val="22"/>
                <w:szCs w:val="22"/>
                <w:highlight w:val="none"/>
                <w:lang w:val="en-US" w:eastAsia="zh-CN"/>
              </w:rPr>
              <w:t>式面点师</w:t>
            </w:r>
          </w:p>
        </w:tc>
        <w:tc>
          <w:tcPr>
            <w:tcW w:w="496" w:type="pct"/>
            <w:noWrap w:val="0"/>
            <w:vAlign w:val="center"/>
          </w:tcPr>
          <w:p w14:paraId="122FEC43">
            <w:pPr>
              <w:keepNext w:val="0"/>
              <w:keepLines w:val="0"/>
              <w:pageBreakBefore w:val="0"/>
              <w:widowControl w:val="0"/>
              <w:kinsoku/>
              <w:wordWrap/>
              <w:overflowPunct/>
              <w:topLinePunct w:val="0"/>
              <w:autoSpaceDE/>
              <w:autoSpaceDN/>
              <w:bidi w:val="0"/>
              <w:adjustRightInd/>
              <w:snapToGrid/>
              <w:spacing w:after="60" w:line="360" w:lineRule="auto"/>
              <w:ind w:left="-193"/>
              <w:jc w:val="center"/>
              <w:textAlignment w:val="auto"/>
              <w:rPr>
                <w:rFonts w:hint="eastAsia" w:ascii="宋体" w:hAnsi="宋体" w:eastAsia="宋体" w:cs="宋体"/>
                <w:b/>
                <w:bCs/>
                <w:color w:val="000000"/>
                <w:sz w:val="22"/>
                <w:szCs w:val="22"/>
                <w:highlight w:val="none"/>
                <w:lang w:eastAsia="zh-CN"/>
              </w:rPr>
            </w:pPr>
            <w:r>
              <w:rPr>
                <w:rFonts w:hint="eastAsia" w:ascii="宋体" w:hAnsi="宋体" w:eastAsia="宋体" w:cs="宋体"/>
                <w:b/>
                <w:bCs/>
                <w:color w:val="000000"/>
                <w:sz w:val="22"/>
                <w:szCs w:val="22"/>
                <w:highlight w:val="none"/>
                <w:lang w:eastAsia="zh-CN"/>
              </w:rPr>
              <w:t>1</w:t>
            </w:r>
          </w:p>
        </w:tc>
        <w:tc>
          <w:tcPr>
            <w:tcW w:w="3860" w:type="pct"/>
            <w:noWrap w:val="0"/>
            <w:vAlign w:val="top"/>
          </w:tcPr>
          <w:p w14:paraId="146E1F43">
            <w:pPr>
              <w:keepNext w:val="0"/>
              <w:keepLines w:val="0"/>
              <w:pageBreakBefore w:val="0"/>
              <w:widowControl w:val="0"/>
              <w:kinsoku/>
              <w:wordWrap/>
              <w:overflowPunct/>
              <w:topLinePunct w:val="0"/>
              <w:autoSpaceDE/>
              <w:autoSpaceDN/>
              <w:bidi w:val="0"/>
              <w:adjustRightInd/>
              <w:snapToGrid/>
              <w:spacing w:after="60" w:line="360" w:lineRule="auto"/>
              <w:jc w:val="both"/>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lang w:val="en-US" w:eastAsia="zh-CN"/>
              </w:rPr>
              <w:t>具有专业的</w:t>
            </w:r>
            <w:r>
              <w:rPr>
                <w:rFonts w:hint="eastAsia" w:ascii="宋体" w:hAnsi="宋体" w:eastAsia="宋体" w:cs="宋体"/>
                <w:color w:val="000000"/>
                <w:sz w:val="22"/>
                <w:szCs w:val="22"/>
                <w:highlight w:val="none"/>
                <w:lang w:eastAsia="zh-CN"/>
              </w:rPr>
              <w:t>西式</w:t>
            </w:r>
            <w:r>
              <w:rPr>
                <w:rFonts w:hint="eastAsia" w:ascii="宋体" w:hAnsi="宋体" w:eastAsia="宋体" w:cs="宋体"/>
                <w:color w:val="000000"/>
                <w:sz w:val="22"/>
                <w:szCs w:val="22"/>
                <w:highlight w:val="none"/>
                <w:lang w:val="en-US" w:eastAsia="zh-CN"/>
              </w:rPr>
              <w:t>面点制作经验以及有爱岗敬业、吃苦耐劳的能力</w:t>
            </w:r>
            <w:r>
              <w:rPr>
                <w:rFonts w:hint="eastAsia" w:ascii="宋体" w:hAnsi="宋体" w:eastAsia="宋体" w:cs="宋体"/>
                <w:color w:val="000000"/>
                <w:sz w:val="22"/>
                <w:szCs w:val="22"/>
                <w:highlight w:val="none"/>
                <w:lang w:eastAsia="zh-CN"/>
              </w:rPr>
              <w:t>，能制作</w:t>
            </w:r>
            <w:r>
              <w:rPr>
                <w:rFonts w:hint="eastAsia" w:ascii="宋体" w:hAnsi="宋体" w:eastAsia="宋体" w:cs="宋体"/>
                <w:color w:val="000000"/>
                <w:sz w:val="22"/>
                <w:szCs w:val="22"/>
                <w:highlight w:val="none"/>
                <w:lang w:val="en-US" w:eastAsia="zh-CN"/>
              </w:rPr>
              <w:t>不同种类的西式面点</w:t>
            </w:r>
            <w:r>
              <w:rPr>
                <w:rFonts w:hint="eastAsia" w:ascii="宋体" w:hAnsi="宋体" w:eastAsia="宋体" w:cs="宋体"/>
                <w:color w:val="000000"/>
                <w:sz w:val="22"/>
                <w:szCs w:val="22"/>
                <w:highlight w:val="none"/>
                <w:lang w:eastAsia="zh-CN"/>
              </w:rPr>
              <w:t>，</w:t>
            </w:r>
            <w:r>
              <w:rPr>
                <w:rFonts w:hint="eastAsia" w:ascii="宋体" w:hAnsi="宋体" w:eastAsia="宋体" w:cs="宋体"/>
                <w:color w:val="000000"/>
                <w:sz w:val="22"/>
                <w:szCs w:val="22"/>
                <w:highlight w:val="none"/>
                <w:lang w:val="en-US" w:eastAsia="zh-CN"/>
              </w:rPr>
              <w:t>如面包、蛋糕、派类、饼干等。</w:t>
            </w:r>
          </w:p>
        </w:tc>
      </w:tr>
      <w:tr w14:paraId="6B711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3" w:hRule="atLeast"/>
        </w:trPr>
        <w:tc>
          <w:tcPr>
            <w:tcW w:w="643" w:type="pct"/>
            <w:noWrap w:val="0"/>
            <w:vAlign w:val="center"/>
          </w:tcPr>
          <w:p w14:paraId="2AB5788B">
            <w:pPr>
              <w:keepNext w:val="0"/>
              <w:keepLines w:val="0"/>
              <w:pageBreakBefore w:val="0"/>
              <w:widowControl w:val="0"/>
              <w:kinsoku/>
              <w:wordWrap/>
              <w:overflowPunct/>
              <w:topLinePunct w:val="0"/>
              <w:autoSpaceDE/>
              <w:autoSpaceDN/>
              <w:bidi w:val="0"/>
              <w:adjustRightInd/>
              <w:snapToGrid/>
              <w:spacing w:after="60" w:line="360" w:lineRule="auto"/>
              <w:jc w:val="center"/>
              <w:textAlignment w:val="auto"/>
              <w:rPr>
                <w:rFonts w:hint="eastAsia" w:ascii="宋体" w:hAnsi="宋体" w:eastAsia="宋体" w:cs="宋体"/>
                <w:b/>
                <w:bCs/>
                <w:color w:val="000000"/>
                <w:sz w:val="22"/>
                <w:szCs w:val="22"/>
                <w:highlight w:val="none"/>
                <w:lang w:val="en-US" w:eastAsia="zh-CN"/>
              </w:rPr>
            </w:pPr>
            <w:r>
              <w:rPr>
                <w:rFonts w:hint="eastAsia" w:ascii="宋体" w:hAnsi="宋体" w:eastAsia="宋体" w:cs="宋体"/>
                <w:b/>
                <w:bCs/>
                <w:color w:val="000000"/>
                <w:sz w:val="22"/>
                <w:szCs w:val="22"/>
                <w:highlight w:val="none"/>
                <w:lang w:val="en-US" w:eastAsia="zh-CN"/>
              </w:rPr>
              <w:t>勤杂服务人员</w:t>
            </w:r>
          </w:p>
        </w:tc>
        <w:tc>
          <w:tcPr>
            <w:tcW w:w="496" w:type="pct"/>
            <w:noWrap w:val="0"/>
            <w:vAlign w:val="center"/>
          </w:tcPr>
          <w:p w14:paraId="6B21E0CB">
            <w:pPr>
              <w:keepNext w:val="0"/>
              <w:keepLines w:val="0"/>
              <w:pageBreakBefore w:val="0"/>
              <w:widowControl w:val="0"/>
              <w:kinsoku/>
              <w:wordWrap/>
              <w:overflowPunct/>
              <w:topLinePunct w:val="0"/>
              <w:autoSpaceDE/>
              <w:autoSpaceDN/>
              <w:bidi w:val="0"/>
              <w:adjustRightInd/>
              <w:snapToGrid/>
              <w:spacing w:after="60" w:line="360" w:lineRule="auto"/>
              <w:jc w:val="center"/>
              <w:textAlignment w:val="auto"/>
              <w:rPr>
                <w:rFonts w:hint="eastAsia" w:ascii="宋体" w:hAnsi="宋体" w:eastAsia="宋体" w:cs="宋体"/>
                <w:b/>
                <w:bCs/>
                <w:color w:val="000000"/>
                <w:sz w:val="22"/>
                <w:szCs w:val="22"/>
                <w:highlight w:val="none"/>
                <w:lang w:eastAsia="zh-CN"/>
              </w:rPr>
            </w:pPr>
            <w:r>
              <w:rPr>
                <w:rFonts w:hint="eastAsia" w:ascii="宋体" w:hAnsi="宋体" w:eastAsia="宋体" w:cs="宋体"/>
                <w:b/>
                <w:bCs/>
                <w:color w:val="000000"/>
                <w:sz w:val="22"/>
                <w:szCs w:val="22"/>
                <w:highlight w:val="none"/>
                <w:lang w:eastAsia="zh-CN"/>
              </w:rPr>
              <w:t>5</w:t>
            </w:r>
          </w:p>
        </w:tc>
        <w:tc>
          <w:tcPr>
            <w:tcW w:w="3860" w:type="pct"/>
            <w:noWrap w:val="0"/>
            <w:vAlign w:val="top"/>
          </w:tcPr>
          <w:p w14:paraId="640D58D1">
            <w:pPr>
              <w:keepNext w:val="0"/>
              <w:keepLines w:val="0"/>
              <w:pageBreakBefore w:val="0"/>
              <w:widowControl w:val="0"/>
              <w:kinsoku/>
              <w:wordWrap/>
              <w:overflowPunct/>
              <w:topLinePunct w:val="0"/>
              <w:autoSpaceDE/>
              <w:autoSpaceDN/>
              <w:bidi w:val="0"/>
              <w:adjustRightInd/>
              <w:snapToGrid/>
              <w:spacing w:after="60" w:line="360" w:lineRule="auto"/>
              <w:jc w:val="both"/>
              <w:textAlignment w:val="auto"/>
              <w:rPr>
                <w:rFonts w:hint="eastAsia" w:ascii="宋体" w:hAnsi="宋体" w:eastAsia="宋体" w:cs="宋体"/>
                <w:color w:val="000000"/>
                <w:sz w:val="22"/>
                <w:szCs w:val="22"/>
                <w:highlight w:val="none"/>
              </w:rPr>
            </w:pPr>
            <w:r>
              <w:rPr>
                <w:rFonts w:hint="default" w:ascii="宋体" w:hAnsi="宋体" w:cs="宋体"/>
                <w:color w:val="000000"/>
                <w:sz w:val="22"/>
                <w:szCs w:val="22"/>
                <w:highlight w:val="none"/>
                <w:lang w:eastAsia="zh-CN"/>
              </w:rPr>
              <w:t>其中</w:t>
            </w:r>
            <w:r>
              <w:rPr>
                <w:rFonts w:hint="eastAsia" w:ascii="宋体" w:hAnsi="宋体" w:eastAsia="宋体" w:cs="宋体"/>
                <w:color w:val="000000"/>
                <w:sz w:val="22"/>
                <w:szCs w:val="22"/>
                <w:highlight w:val="none"/>
                <w:lang w:eastAsia="zh-CN"/>
              </w:rPr>
              <w:t>至少2名年</w:t>
            </w:r>
            <w:r>
              <w:rPr>
                <w:rFonts w:hint="eastAsia" w:ascii="宋体" w:hAnsi="宋体" w:eastAsia="宋体" w:cs="宋体"/>
                <w:color w:val="000000"/>
                <w:sz w:val="22"/>
                <w:szCs w:val="22"/>
                <w:highlight w:val="none"/>
                <w:lang w:val="en-US" w:eastAsia="zh-CN"/>
              </w:rPr>
              <w:t>龄</w:t>
            </w:r>
            <w:r>
              <w:rPr>
                <w:rFonts w:hint="eastAsia" w:ascii="宋体" w:hAnsi="宋体" w:eastAsia="宋体" w:cs="宋体"/>
                <w:color w:val="000000"/>
                <w:sz w:val="22"/>
                <w:szCs w:val="22"/>
                <w:highlight w:val="none"/>
                <w:lang w:eastAsia="zh-CN"/>
              </w:rPr>
              <w:t>40岁</w:t>
            </w:r>
            <w:r>
              <w:rPr>
                <w:rFonts w:hint="eastAsia" w:ascii="宋体" w:hAnsi="宋体" w:eastAsia="宋体" w:cs="宋体"/>
                <w:color w:val="000000"/>
                <w:sz w:val="22"/>
                <w:szCs w:val="22"/>
                <w:highlight w:val="none"/>
                <w:lang w:val="en-US" w:eastAsia="zh-CN"/>
              </w:rPr>
              <w:t>以内，形象气质佳</w:t>
            </w:r>
            <w:r>
              <w:rPr>
                <w:rFonts w:hint="default" w:ascii="宋体" w:hAnsi="宋体" w:cs="宋体"/>
                <w:color w:val="000000"/>
                <w:sz w:val="22"/>
                <w:szCs w:val="22"/>
                <w:highlight w:val="none"/>
                <w:lang w:eastAsia="zh-CN"/>
              </w:rPr>
              <w:t>，其他人员在50岁以下；</w:t>
            </w:r>
            <w:r>
              <w:rPr>
                <w:rFonts w:hint="eastAsia" w:ascii="宋体" w:hAnsi="宋体" w:eastAsia="宋体" w:cs="宋体"/>
                <w:color w:val="000000"/>
                <w:sz w:val="22"/>
                <w:szCs w:val="22"/>
                <w:highlight w:val="none"/>
                <w:lang w:val="en-US" w:eastAsia="zh-CN"/>
              </w:rPr>
              <w:t>具有酒店餐饮</w:t>
            </w:r>
            <w:r>
              <w:rPr>
                <w:rFonts w:hint="eastAsia" w:ascii="宋体" w:hAnsi="宋体" w:eastAsia="宋体" w:cs="宋体"/>
                <w:color w:val="000000"/>
                <w:sz w:val="22"/>
                <w:szCs w:val="22"/>
                <w:highlight w:val="none"/>
                <w:lang w:eastAsia="zh-CN"/>
              </w:rPr>
              <w:t>或酒楼等</w:t>
            </w:r>
            <w:r>
              <w:rPr>
                <w:rFonts w:hint="eastAsia" w:ascii="宋体" w:hAnsi="宋体" w:eastAsia="宋体" w:cs="宋体"/>
                <w:color w:val="000000"/>
                <w:sz w:val="22"/>
                <w:szCs w:val="22"/>
                <w:highlight w:val="none"/>
                <w:lang w:val="en-US" w:eastAsia="zh-CN"/>
              </w:rPr>
              <w:t>服务任职经历，有较好的沟通能力，有良好的服务意识及团队合作意识。</w:t>
            </w:r>
          </w:p>
        </w:tc>
      </w:tr>
      <w:tr w14:paraId="78F44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pct"/>
            <w:noWrap w:val="0"/>
            <w:vAlign w:val="center"/>
          </w:tcPr>
          <w:p w14:paraId="0090903E">
            <w:pPr>
              <w:pStyle w:val="10"/>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highlight w:val="none"/>
                <w:vertAlign w:val="baseline"/>
                <w:lang w:val="en-US" w:eastAsia="zh-CN"/>
              </w:rPr>
            </w:pPr>
            <w:r>
              <w:rPr>
                <w:rFonts w:hint="eastAsia" w:ascii="宋体" w:hAnsi="宋体" w:eastAsia="宋体" w:cs="宋体"/>
                <w:sz w:val="22"/>
                <w:szCs w:val="22"/>
                <w:highlight w:val="none"/>
                <w:vertAlign w:val="baseline"/>
                <w:lang w:val="en-US" w:eastAsia="zh-CN"/>
              </w:rPr>
              <w:t>合计</w:t>
            </w:r>
          </w:p>
        </w:tc>
        <w:tc>
          <w:tcPr>
            <w:tcW w:w="496" w:type="pct"/>
            <w:noWrap w:val="0"/>
            <w:vAlign w:val="center"/>
          </w:tcPr>
          <w:p w14:paraId="157784B7">
            <w:pPr>
              <w:pStyle w:val="10"/>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highlight w:val="none"/>
                <w:vertAlign w:val="baseline"/>
                <w:lang w:val="en-US" w:eastAsia="zh-CN"/>
              </w:rPr>
            </w:pPr>
            <w:r>
              <w:rPr>
                <w:rFonts w:hint="eastAsia" w:ascii="宋体" w:hAnsi="宋体" w:eastAsia="宋体" w:cs="宋体"/>
                <w:sz w:val="22"/>
                <w:szCs w:val="22"/>
                <w:highlight w:val="none"/>
                <w:vertAlign w:val="baseline"/>
                <w:lang w:val="en-US" w:eastAsia="zh-CN"/>
              </w:rPr>
              <w:t>11</w:t>
            </w:r>
          </w:p>
        </w:tc>
        <w:tc>
          <w:tcPr>
            <w:tcW w:w="3860" w:type="pct"/>
            <w:noWrap w:val="0"/>
            <w:vAlign w:val="top"/>
          </w:tcPr>
          <w:p w14:paraId="70A748B9">
            <w:pPr>
              <w:pStyle w:val="10"/>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2"/>
                <w:szCs w:val="22"/>
                <w:highlight w:val="none"/>
                <w:vertAlign w:val="baseline"/>
              </w:rPr>
            </w:pPr>
          </w:p>
        </w:tc>
      </w:tr>
    </w:tbl>
    <w:p w14:paraId="0A2DEBEF">
      <w:pPr>
        <w:pStyle w:val="10"/>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textAlignment w:val="auto"/>
        <w:rPr>
          <w:rStyle w:val="57"/>
          <w:rFonts w:hint="eastAsia" w:ascii="宋体" w:hAnsi="宋体" w:eastAsia="宋体" w:cs="宋体"/>
          <w:b w:val="0"/>
          <w:i w:val="0"/>
          <w:caps w:val="0"/>
          <w:spacing w:val="0"/>
          <w:w w:val="100"/>
          <w:kern w:val="2"/>
          <w:sz w:val="22"/>
          <w:szCs w:val="22"/>
          <w:highlight w:val="none"/>
          <w:lang w:eastAsia="zh-CN" w:bidi="ar-SA"/>
        </w:rPr>
      </w:pPr>
      <w:r>
        <w:rPr>
          <w:rStyle w:val="57"/>
          <w:rFonts w:hint="eastAsia" w:ascii="宋体" w:hAnsi="宋体" w:eastAsia="宋体" w:cs="宋体"/>
          <w:b w:val="0"/>
          <w:i w:val="0"/>
          <w:caps w:val="0"/>
          <w:spacing w:val="0"/>
          <w:w w:val="100"/>
          <w:kern w:val="2"/>
          <w:sz w:val="22"/>
          <w:szCs w:val="22"/>
          <w:highlight w:val="none"/>
          <w:lang w:eastAsia="zh-CN" w:bidi="ar-SA"/>
        </w:rPr>
        <w:t>②所有驻场人员需具备由有资质卫生医疗机构出具的</w:t>
      </w:r>
      <w:r>
        <w:rPr>
          <w:rStyle w:val="57"/>
          <w:rFonts w:hint="default" w:ascii="宋体" w:hAnsi="宋体" w:cs="宋体"/>
          <w:b w:val="0"/>
          <w:i w:val="0"/>
          <w:caps w:val="0"/>
          <w:spacing w:val="0"/>
          <w:w w:val="100"/>
          <w:kern w:val="2"/>
          <w:sz w:val="22"/>
          <w:szCs w:val="22"/>
          <w:highlight w:val="none"/>
          <w:lang w:eastAsia="zh-CN" w:bidi="ar-SA"/>
        </w:rPr>
        <w:t>有效健康证</w:t>
      </w:r>
      <w:r>
        <w:rPr>
          <w:rStyle w:val="57"/>
          <w:rFonts w:hint="eastAsia" w:ascii="宋体" w:hAnsi="宋体" w:eastAsia="宋体" w:cs="宋体"/>
          <w:b w:val="0"/>
          <w:i w:val="0"/>
          <w:caps w:val="0"/>
          <w:spacing w:val="0"/>
          <w:w w:val="100"/>
          <w:kern w:val="2"/>
          <w:sz w:val="22"/>
          <w:szCs w:val="22"/>
          <w:highlight w:val="none"/>
          <w:lang w:eastAsia="zh-CN" w:bidi="ar-SA"/>
        </w:rPr>
        <w:t>，</w:t>
      </w:r>
      <w:r>
        <w:rPr>
          <w:rStyle w:val="57"/>
          <w:rFonts w:hint="default" w:ascii="宋体" w:hAnsi="宋体" w:eastAsia="宋体" w:cs="宋体"/>
          <w:b w:val="0"/>
          <w:i w:val="0"/>
          <w:caps w:val="0"/>
          <w:spacing w:val="0"/>
          <w:w w:val="100"/>
          <w:kern w:val="2"/>
          <w:sz w:val="22"/>
          <w:szCs w:val="22"/>
          <w:highlight w:val="none"/>
          <w:lang w:eastAsia="zh-CN" w:bidi="ar-SA"/>
        </w:rPr>
        <w:t>除勤杂人员外，其他</w:t>
      </w:r>
      <w:r>
        <w:rPr>
          <w:rStyle w:val="57"/>
          <w:rFonts w:hint="eastAsia" w:ascii="宋体" w:hAnsi="宋体" w:eastAsia="宋体" w:cs="宋体"/>
          <w:b w:val="0"/>
          <w:i w:val="0"/>
          <w:caps w:val="0"/>
          <w:spacing w:val="0"/>
          <w:w w:val="100"/>
          <w:kern w:val="2"/>
          <w:sz w:val="22"/>
          <w:szCs w:val="22"/>
          <w:highlight w:val="none"/>
          <w:lang w:eastAsia="zh-CN" w:bidi="ar-SA"/>
        </w:rPr>
        <w:t>人员</w:t>
      </w:r>
      <w:r>
        <w:rPr>
          <w:rStyle w:val="57"/>
          <w:rFonts w:hint="default" w:ascii="宋体" w:hAnsi="宋体" w:eastAsia="宋体" w:cs="宋体"/>
          <w:b w:val="0"/>
          <w:i w:val="0"/>
          <w:caps w:val="0"/>
          <w:spacing w:val="0"/>
          <w:w w:val="100"/>
          <w:kern w:val="2"/>
          <w:sz w:val="22"/>
          <w:szCs w:val="22"/>
          <w:highlight w:val="none"/>
          <w:lang w:eastAsia="zh-CN" w:bidi="ar-SA"/>
        </w:rPr>
        <w:t>还需</w:t>
      </w:r>
      <w:r>
        <w:rPr>
          <w:rStyle w:val="57"/>
          <w:rFonts w:hint="eastAsia" w:ascii="宋体" w:hAnsi="宋体" w:eastAsia="宋体" w:cs="宋体"/>
          <w:b w:val="0"/>
          <w:i w:val="0"/>
          <w:caps w:val="0"/>
          <w:spacing w:val="0"/>
          <w:w w:val="100"/>
          <w:kern w:val="2"/>
          <w:sz w:val="22"/>
          <w:szCs w:val="22"/>
          <w:highlight w:val="none"/>
          <w:lang w:eastAsia="zh-CN" w:bidi="ar-SA"/>
        </w:rPr>
        <w:t>具有相应的从业证，由中标人自行管理。</w:t>
      </w:r>
      <w:r>
        <w:rPr>
          <w:rStyle w:val="57"/>
          <w:rFonts w:hint="default" w:ascii="宋体" w:hAnsi="宋体" w:eastAsia="宋体" w:cs="宋体"/>
          <w:b w:val="0"/>
          <w:i w:val="0"/>
          <w:caps w:val="0"/>
          <w:spacing w:val="0"/>
          <w:w w:val="100"/>
          <w:kern w:val="2"/>
          <w:sz w:val="22"/>
          <w:szCs w:val="22"/>
          <w:highlight w:val="none"/>
          <w:lang w:eastAsia="zh-CN" w:bidi="ar-SA"/>
        </w:rPr>
        <w:t>驻场人员</w:t>
      </w:r>
      <w:r>
        <w:rPr>
          <w:rStyle w:val="57"/>
          <w:rFonts w:hint="eastAsia" w:ascii="宋体" w:hAnsi="宋体" w:eastAsia="宋体" w:cs="宋体"/>
          <w:b w:val="0"/>
          <w:i w:val="0"/>
          <w:caps w:val="0"/>
          <w:spacing w:val="0"/>
          <w:w w:val="100"/>
          <w:kern w:val="2"/>
          <w:sz w:val="22"/>
          <w:szCs w:val="22"/>
          <w:highlight w:val="none"/>
          <w:lang w:eastAsia="zh-CN" w:bidi="ar-SA"/>
        </w:rPr>
        <w:t>应遵规守纪、身体健康</w:t>
      </w:r>
      <w:r>
        <w:rPr>
          <w:rStyle w:val="57"/>
          <w:rFonts w:hint="default" w:ascii="宋体" w:hAnsi="宋体" w:eastAsia="宋体" w:cs="宋体"/>
          <w:b w:val="0"/>
          <w:i w:val="0"/>
          <w:caps w:val="0"/>
          <w:spacing w:val="0"/>
          <w:w w:val="100"/>
          <w:kern w:val="2"/>
          <w:sz w:val="22"/>
          <w:szCs w:val="22"/>
          <w:highlight w:val="none"/>
          <w:lang w:eastAsia="zh-CN" w:bidi="ar-SA"/>
        </w:rPr>
        <w:t>、</w:t>
      </w:r>
      <w:r>
        <w:rPr>
          <w:rStyle w:val="57"/>
          <w:rFonts w:hint="eastAsia" w:ascii="宋体" w:hAnsi="宋体" w:eastAsia="宋体" w:cs="宋体"/>
          <w:b w:val="0"/>
          <w:i w:val="0"/>
          <w:caps w:val="0"/>
          <w:spacing w:val="0"/>
          <w:w w:val="100"/>
          <w:kern w:val="2"/>
          <w:sz w:val="22"/>
          <w:szCs w:val="22"/>
          <w:highlight w:val="none"/>
          <w:lang w:eastAsia="zh-CN" w:bidi="ar-SA"/>
        </w:rPr>
        <w:t>服务规范，按要求着装上岗，中标人定期对员工进行业务水平培训。如采购人认为中标人投入的工作人员数量、业务水平、专业配置等不能满足本项目实际工作需要时，有权要求中标人及时调配或增加符合要求的人员。</w:t>
      </w:r>
    </w:p>
    <w:p w14:paraId="418A15BA">
      <w:pPr>
        <w:pStyle w:val="10"/>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textAlignment w:val="auto"/>
        <w:rPr>
          <w:rStyle w:val="57"/>
          <w:rFonts w:hint="default" w:ascii="宋体" w:hAnsi="宋体" w:eastAsia="宋体" w:cs="宋体"/>
          <w:b w:val="0"/>
          <w:i w:val="0"/>
          <w:caps w:val="0"/>
          <w:spacing w:val="0"/>
          <w:w w:val="100"/>
          <w:kern w:val="2"/>
          <w:sz w:val="22"/>
          <w:szCs w:val="22"/>
          <w:highlight w:val="none"/>
          <w:lang w:eastAsia="zh-CN" w:bidi="ar-SA"/>
        </w:rPr>
      </w:pPr>
      <w:r>
        <w:rPr>
          <w:rStyle w:val="57"/>
          <w:rFonts w:hint="default" w:ascii="宋体" w:hAnsi="宋体" w:eastAsia="宋体" w:cs="宋体"/>
          <w:b w:val="0"/>
          <w:i w:val="0"/>
          <w:caps w:val="0"/>
          <w:spacing w:val="0"/>
          <w:w w:val="100"/>
          <w:kern w:val="2"/>
          <w:sz w:val="22"/>
          <w:szCs w:val="22"/>
          <w:highlight w:val="none"/>
          <w:lang w:eastAsia="zh-CN" w:bidi="ar-SA"/>
        </w:rPr>
        <w:t>③驻场人员必须品行良好，无违法犯罪记录，中标人需将其详细资料报采购人备案。</w:t>
      </w:r>
    </w:p>
    <w:p w14:paraId="4B042012">
      <w:pPr>
        <w:pStyle w:val="10"/>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textAlignment w:val="auto"/>
        <w:rPr>
          <w:rStyle w:val="57"/>
          <w:rFonts w:hint="default" w:ascii="宋体" w:hAnsi="宋体" w:eastAsia="宋体" w:cs="宋体"/>
          <w:b w:val="0"/>
          <w:i w:val="0"/>
          <w:caps w:val="0"/>
          <w:spacing w:val="0"/>
          <w:w w:val="100"/>
          <w:kern w:val="2"/>
          <w:sz w:val="22"/>
          <w:szCs w:val="22"/>
          <w:highlight w:val="none"/>
          <w:lang w:eastAsia="zh-CN" w:bidi="ar-SA"/>
        </w:rPr>
      </w:pPr>
      <w:r>
        <w:rPr>
          <w:rStyle w:val="57"/>
          <w:rFonts w:hint="default" w:ascii="宋体" w:hAnsi="宋体" w:eastAsia="宋体" w:cs="宋体"/>
          <w:b w:val="0"/>
          <w:i w:val="0"/>
          <w:caps w:val="0"/>
          <w:spacing w:val="0"/>
          <w:w w:val="100"/>
          <w:kern w:val="2"/>
          <w:sz w:val="22"/>
          <w:szCs w:val="22"/>
          <w:highlight w:val="none"/>
          <w:lang w:eastAsia="zh-CN" w:bidi="ar-SA"/>
        </w:rPr>
        <w:t>④中标人须负责安排驻场人员每年进行一次</w:t>
      </w:r>
      <w:r>
        <w:rPr>
          <w:rStyle w:val="57"/>
          <w:rFonts w:hint="eastAsia" w:ascii="宋体" w:hAnsi="宋体" w:cs="宋体"/>
          <w:b w:val="0"/>
          <w:i w:val="0"/>
          <w:caps w:val="0"/>
          <w:spacing w:val="0"/>
          <w:w w:val="100"/>
          <w:kern w:val="2"/>
          <w:sz w:val="22"/>
          <w:szCs w:val="22"/>
          <w:highlight w:val="none"/>
          <w:lang w:eastAsia="zh-CN" w:bidi="ar-SA"/>
        </w:rPr>
        <w:t>健康</w:t>
      </w:r>
      <w:r>
        <w:rPr>
          <w:rStyle w:val="57"/>
          <w:rFonts w:hint="default" w:ascii="宋体" w:hAnsi="宋体" w:eastAsia="宋体" w:cs="宋体"/>
          <w:b w:val="0"/>
          <w:i w:val="0"/>
          <w:caps w:val="0"/>
          <w:spacing w:val="0"/>
          <w:w w:val="100"/>
          <w:kern w:val="2"/>
          <w:sz w:val="22"/>
          <w:szCs w:val="22"/>
          <w:highlight w:val="none"/>
          <w:lang w:eastAsia="zh-CN" w:bidi="ar-SA"/>
        </w:rPr>
        <w:t>体检，体检</w:t>
      </w:r>
      <w:r>
        <w:rPr>
          <w:rStyle w:val="57"/>
          <w:rFonts w:hint="eastAsia" w:ascii="宋体" w:hAnsi="宋体" w:cs="宋体"/>
          <w:b w:val="0"/>
          <w:i w:val="0"/>
          <w:caps w:val="0"/>
          <w:spacing w:val="0"/>
          <w:w w:val="100"/>
          <w:kern w:val="2"/>
          <w:sz w:val="22"/>
          <w:szCs w:val="22"/>
          <w:highlight w:val="none"/>
          <w:lang w:eastAsia="zh-CN" w:bidi="ar-SA"/>
        </w:rPr>
        <w:t>报告提交</w:t>
      </w:r>
      <w:r>
        <w:rPr>
          <w:rStyle w:val="57"/>
          <w:rFonts w:hint="default" w:ascii="宋体" w:hAnsi="宋体" w:eastAsia="宋体" w:cs="宋体"/>
          <w:b w:val="0"/>
          <w:i w:val="0"/>
          <w:caps w:val="0"/>
          <w:spacing w:val="0"/>
          <w:w w:val="100"/>
          <w:kern w:val="2"/>
          <w:sz w:val="22"/>
          <w:szCs w:val="22"/>
          <w:highlight w:val="none"/>
          <w:lang w:eastAsia="zh-CN" w:bidi="ar-SA"/>
        </w:rPr>
        <w:t>采购人备案，所需费用由中标人自理。</w:t>
      </w:r>
    </w:p>
    <w:p w14:paraId="7F3BCF65">
      <w:pPr>
        <w:pStyle w:val="10"/>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textAlignment w:val="auto"/>
        <w:rPr>
          <w:rFonts w:hint="default"/>
          <w:lang w:eastAsia="zh-CN"/>
        </w:rPr>
      </w:pPr>
      <w:r>
        <w:rPr>
          <w:rStyle w:val="57"/>
          <w:rFonts w:hint="default" w:ascii="宋体" w:hAnsi="宋体" w:eastAsia="宋体" w:cs="宋体"/>
          <w:b w:val="0"/>
          <w:i w:val="0"/>
          <w:caps w:val="0"/>
          <w:spacing w:val="0"/>
          <w:w w:val="100"/>
          <w:kern w:val="2"/>
          <w:sz w:val="22"/>
          <w:szCs w:val="22"/>
          <w:highlight w:val="none"/>
          <w:lang w:eastAsia="zh-CN" w:bidi="ar-SA"/>
        </w:rPr>
        <w:t>⑤驻场人员以及项目负责人应保持相对稳定，如需要更换，中标人须事先通知采购人并将其个人资料送采购人审批，不得擅自更换。</w:t>
      </w:r>
    </w:p>
    <w:p w14:paraId="22868BBC">
      <w:pPr>
        <w:pStyle w:val="10"/>
        <w:keepNext w:val="0"/>
        <w:keepLines w:val="0"/>
        <w:pageBreakBefore w:val="0"/>
        <w:kinsoku/>
        <w:wordWrap/>
        <w:overflowPunct/>
        <w:topLinePunct w:val="0"/>
        <w:autoSpaceDE/>
        <w:autoSpaceDN/>
        <w:bidi w:val="0"/>
        <w:adjustRightInd/>
        <w:snapToGrid/>
        <w:spacing w:line="360" w:lineRule="auto"/>
        <w:ind w:firstLine="442" w:firstLineChars="200"/>
        <w:rPr>
          <w:rStyle w:val="57"/>
          <w:rFonts w:hint="eastAsia" w:ascii="宋体" w:hAnsi="宋体" w:eastAsia="宋体" w:cs="宋体"/>
          <w:b/>
          <w:bCs w:val="0"/>
          <w:i w:val="0"/>
          <w:caps w:val="0"/>
          <w:spacing w:val="0"/>
          <w:w w:val="100"/>
          <w:kern w:val="2"/>
          <w:sz w:val="22"/>
          <w:szCs w:val="22"/>
          <w:highlight w:val="none"/>
          <w:lang w:eastAsia="zh-CN" w:bidi="ar-SA"/>
        </w:rPr>
      </w:pPr>
      <w:r>
        <w:rPr>
          <w:rStyle w:val="57"/>
          <w:rFonts w:hint="eastAsia" w:ascii="宋体" w:hAnsi="宋体" w:eastAsia="宋体" w:cs="宋体"/>
          <w:b/>
          <w:bCs w:val="0"/>
          <w:i w:val="0"/>
          <w:caps w:val="0"/>
          <w:spacing w:val="0"/>
          <w:w w:val="100"/>
          <w:kern w:val="2"/>
          <w:sz w:val="22"/>
          <w:szCs w:val="22"/>
          <w:highlight w:val="none"/>
          <w:lang w:eastAsia="zh-CN" w:bidi="ar-SA"/>
        </w:rPr>
        <w:t>3.★卫生管理要求</w:t>
      </w:r>
    </w:p>
    <w:p w14:paraId="0F6E6BA1">
      <w:pPr>
        <w:pStyle w:val="10"/>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textAlignment w:val="auto"/>
        <w:rPr>
          <w:rStyle w:val="57"/>
          <w:rFonts w:hint="eastAsia" w:ascii="宋体" w:hAnsi="宋体" w:eastAsia="宋体" w:cs="宋体"/>
          <w:b w:val="0"/>
          <w:i w:val="0"/>
          <w:caps w:val="0"/>
          <w:spacing w:val="0"/>
          <w:w w:val="100"/>
          <w:kern w:val="2"/>
          <w:sz w:val="22"/>
          <w:szCs w:val="22"/>
          <w:highlight w:val="none"/>
          <w:lang w:eastAsia="zh-CN" w:bidi="ar-SA"/>
        </w:rPr>
      </w:pPr>
      <w:r>
        <w:rPr>
          <w:rStyle w:val="57"/>
          <w:rFonts w:hint="eastAsia" w:ascii="宋体" w:hAnsi="宋体" w:eastAsia="宋体" w:cs="宋体"/>
          <w:b w:val="0"/>
          <w:i w:val="0"/>
          <w:caps w:val="0"/>
          <w:spacing w:val="0"/>
          <w:w w:val="100"/>
          <w:kern w:val="2"/>
          <w:sz w:val="22"/>
          <w:szCs w:val="22"/>
          <w:highlight w:val="none"/>
          <w:lang w:eastAsia="zh-CN" w:bidi="ar-SA"/>
        </w:rPr>
        <w:t>①食品卫生安全：</w:t>
      </w:r>
      <w:r>
        <w:rPr>
          <w:rStyle w:val="57"/>
          <w:rFonts w:hint="default" w:ascii="宋体" w:hAnsi="宋体" w:eastAsia="宋体" w:cs="宋体"/>
          <w:b w:val="0"/>
          <w:i w:val="0"/>
          <w:caps w:val="0"/>
          <w:spacing w:val="0"/>
          <w:w w:val="100"/>
          <w:kern w:val="2"/>
          <w:sz w:val="22"/>
          <w:szCs w:val="22"/>
          <w:highlight w:val="none"/>
          <w:lang w:eastAsia="zh-CN" w:bidi="ar-SA"/>
        </w:rPr>
        <w:t>中标人</w:t>
      </w:r>
      <w:r>
        <w:rPr>
          <w:rStyle w:val="57"/>
          <w:rFonts w:hint="eastAsia" w:ascii="宋体" w:hAnsi="宋体" w:cs="宋体"/>
          <w:b w:val="0"/>
          <w:i w:val="0"/>
          <w:caps w:val="0"/>
          <w:spacing w:val="0"/>
          <w:w w:val="100"/>
          <w:kern w:val="2"/>
          <w:sz w:val="22"/>
          <w:szCs w:val="22"/>
          <w:highlight w:val="none"/>
          <w:lang w:eastAsia="zh-CN" w:bidi="ar-SA"/>
        </w:rPr>
        <w:t>严格</w:t>
      </w:r>
      <w:r>
        <w:rPr>
          <w:rStyle w:val="57"/>
          <w:rFonts w:hint="eastAsia" w:ascii="宋体" w:hAnsi="宋体" w:eastAsia="宋体" w:cs="宋体"/>
          <w:b w:val="0"/>
          <w:i w:val="0"/>
          <w:caps w:val="0"/>
          <w:spacing w:val="0"/>
          <w:w w:val="100"/>
          <w:kern w:val="2"/>
          <w:sz w:val="22"/>
          <w:szCs w:val="22"/>
          <w:highlight w:val="none"/>
          <w:lang w:eastAsia="zh-CN" w:bidi="ar-SA"/>
        </w:rPr>
        <w:t>遵守国家有关食品、饮食业卫生安全</w:t>
      </w:r>
      <w:r>
        <w:rPr>
          <w:rStyle w:val="57"/>
          <w:rFonts w:hint="eastAsia" w:ascii="宋体" w:hAnsi="宋体" w:cs="宋体"/>
          <w:b w:val="0"/>
          <w:i w:val="0"/>
          <w:caps w:val="0"/>
          <w:spacing w:val="0"/>
          <w:w w:val="100"/>
          <w:kern w:val="2"/>
          <w:sz w:val="22"/>
          <w:szCs w:val="22"/>
          <w:highlight w:val="none"/>
          <w:lang w:eastAsia="zh-CN" w:bidi="ar-SA"/>
        </w:rPr>
        <w:t>相关</w:t>
      </w:r>
      <w:r>
        <w:rPr>
          <w:rStyle w:val="57"/>
          <w:rFonts w:hint="eastAsia" w:ascii="宋体" w:hAnsi="宋体" w:eastAsia="宋体" w:cs="宋体"/>
          <w:b w:val="0"/>
          <w:i w:val="0"/>
          <w:caps w:val="0"/>
          <w:spacing w:val="0"/>
          <w:w w:val="100"/>
          <w:kern w:val="2"/>
          <w:sz w:val="22"/>
          <w:szCs w:val="22"/>
          <w:highlight w:val="none"/>
          <w:lang w:eastAsia="zh-CN" w:bidi="ar-SA"/>
        </w:rPr>
        <w:t>法律法规，烹调的饭菜必须符合餐饮业的卫生管理标准，保证食品的卫生和质量，所有食品加工流程符合卫生防疫标准；必须严格执行食品留样制度，每种菜均留样，并在低温下保留48小时，以便作为卫生问题的追溯依据。</w:t>
      </w:r>
    </w:p>
    <w:p w14:paraId="702C1F8D">
      <w:pPr>
        <w:pStyle w:val="10"/>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textAlignment w:val="auto"/>
        <w:rPr>
          <w:rStyle w:val="57"/>
          <w:rFonts w:hint="eastAsia" w:ascii="宋体" w:hAnsi="宋体" w:eastAsia="宋体" w:cs="宋体"/>
          <w:b w:val="0"/>
          <w:i w:val="0"/>
          <w:caps w:val="0"/>
          <w:spacing w:val="0"/>
          <w:w w:val="100"/>
          <w:kern w:val="2"/>
          <w:sz w:val="22"/>
          <w:szCs w:val="22"/>
          <w:highlight w:val="none"/>
          <w:lang w:eastAsia="zh-CN" w:bidi="ar-SA"/>
        </w:rPr>
      </w:pPr>
      <w:r>
        <w:rPr>
          <w:rStyle w:val="57"/>
          <w:rFonts w:hint="eastAsia" w:ascii="宋体" w:hAnsi="宋体" w:eastAsia="宋体" w:cs="宋体"/>
          <w:b w:val="0"/>
          <w:i w:val="0"/>
          <w:caps w:val="0"/>
          <w:spacing w:val="0"/>
          <w:w w:val="100"/>
          <w:kern w:val="2"/>
          <w:sz w:val="22"/>
          <w:szCs w:val="22"/>
          <w:highlight w:val="none"/>
          <w:lang w:eastAsia="zh-CN" w:bidi="ar-SA"/>
        </w:rPr>
        <w:t>②人员卫生：</w:t>
      </w:r>
      <w:r>
        <w:rPr>
          <w:rStyle w:val="57"/>
          <w:rFonts w:hint="default" w:ascii="宋体" w:hAnsi="宋体" w:cs="宋体"/>
          <w:b w:val="0"/>
          <w:i w:val="0"/>
          <w:caps w:val="0"/>
          <w:spacing w:val="0"/>
          <w:w w:val="100"/>
          <w:kern w:val="2"/>
          <w:sz w:val="22"/>
          <w:szCs w:val="22"/>
          <w:highlight w:val="none"/>
          <w:lang w:eastAsia="zh-CN" w:bidi="ar-SA"/>
        </w:rPr>
        <w:t>中标人</w:t>
      </w:r>
      <w:r>
        <w:rPr>
          <w:rStyle w:val="57"/>
          <w:rFonts w:hint="eastAsia" w:ascii="宋体" w:hAnsi="宋体" w:eastAsia="宋体" w:cs="宋体"/>
          <w:b w:val="0"/>
          <w:i w:val="0"/>
          <w:caps w:val="0"/>
          <w:spacing w:val="0"/>
          <w:w w:val="100"/>
          <w:kern w:val="2"/>
          <w:sz w:val="22"/>
          <w:szCs w:val="22"/>
          <w:highlight w:val="none"/>
          <w:lang w:eastAsia="zh-CN" w:bidi="ar-SA"/>
        </w:rPr>
        <w:t>的工作人员进入厨房作业区必须穿着统一的工作服，</w:t>
      </w:r>
      <w:r>
        <w:rPr>
          <w:rStyle w:val="57"/>
          <w:rFonts w:hint="default" w:ascii="宋体" w:hAnsi="宋体" w:cs="宋体"/>
          <w:b w:val="0"/>
          <w:i w:val="0"/>
          <w:caps w:val="0"/>
          <w:spacing w:val="0"/>
          <w:w w:val="100"/>
          <w:kern w:val="2"/>
          <w:sz w:val="22"/>
          <w:szCs w:val="22"/>
          <w:highlight w:val="none"/>
          <w:lang w:eastAsia="zh-CN" w:bidi="ar-SA"/>
        </w:rPr>
        <w:t>佩戴口罩或面罩，</w:t>
      </w:r>
      <w:r>
        <w:rPr>
          <w:rStyle w:val="57"/>
          <w:rFonts w:hint="eastAsia" w:ascii="宋体" w:hAnsi="宋体" w:eastAsia="宋体" w:cs="宋体"/>
          <w:b w:val="0"/>
          <w:i w:val="0"/>
          <w:caps w:val="0"/>
          <w:spacing w:val="0"/>
          <w:w w:val="100"/>
          <w:kern w:val="2"/>
          <w:sz w:val="22"/>
          <w:szCs w:val="22"/>
          <w:highlight w:val="none"/>
          <w:lang w:eastAsia="zh-CN" w:bidi="ar-SA"/>
        </w:rPr>
        <w:t>工作服保持整洁干净，禁止</w:t>
      </w:r>
      <w:r>
        <w:rPr>
          <w:rStyle w:val="57"/>
          <w:rFonts w:hint="default" w:ascii="宋体" w:hAnsi="宋体" w:cs="宋体"/>
          <w:b w:val="0"/>
          <w:i w:val="0"/>
          <w:caps w:val="0"/>
          <w:spacing w:val="0"/>
          <w:w w:val="100"/>
          <w:kern w:val="2"/>
          <w:sz w:val="22"/>
          <w:szCs w:val="22"/>
          <w:highlight w:val="none"/>
          <w:lang w:eastAsia="zh-CN" w:bidi="ar-SA"/>
        </w:rPr>
        <w:t>未穿工作服进入</w:t>
      </w:r>
      <w:r>
        <w:rPr>
          <w:rStyle w:val="57"/>
          <w:rFonts w:hint="eastAsia" w:ascii="宋体" w:hAnsi="宋体" w:eastAsia="宋体" w:cs="宋体"/>
          <w:b w:val="0"/>
          <w:i w:val="0"/>
          <w:caps w:val="0"/>
          <w:spacing w:val="0"/>
          <w:w w:val="100"/>
          <w:kern w:val="2"/>
          <w:sz w:val="22"/>
          <w:szCs w:val="22"/>
          <w:highlight w:val="none"/>
          <w:lang w:eastAsia="zh-CN" w:bidi="ar-SA"/>
        </w:rPr>
        <w:t>厨房、在食堂做与制作饭菜无关的</w:t>
      </w:r>
      <w:r>
        <w:rPr>
          <w:rStyle w:val="57"/>
          <w:rFonts w:hint="default" w:ascii="宋体" w:hAnsi="宋体" w:cs="宋体"/>
          <w:b w:val="0"/>
          <w:i w:val="0"/>
          <w:caps w:val="0"/>
          <w:spacing w:val="0"/>
          <w:w w:val="100"/>
          <w:kern w:val="2"/>
          <w:sz w:val="22"/>
          <w:szCs w:val="22"/>
          <w:highlight w:val="none"/>
          <w:lang w:eastAsia="zh-CN" w:bidi="ar-SA"/>
        </w:rPr>
        <w:t>事项</w:t>
      </w:r>
      <w:r>
        <w:rPr>
          <w:rStyle w:val="57"/>
          <w:rFonts w:hint="eastAsia" w:ascii="宋体" w:hAnsi="宋体" w:eastAsia="宋体" w:cs="宋体"/>
          <w:b w:val="0"/>
          <w:i w:val="0"/>
          <w:caps w:val="0"/>
          <w:spacing w:val="0"/>
          <w:w w:val="100"/>
          <w:kern w:val="2"/>
          <w:sz w:val="22"/>
          <w:szCs w:val="22"/>
          <w:highlight w:val="none"/>
          <w:lang w:eastAsia="zh-CN" w:bidi="ar-SA"/>
        </w:rPr>
        <w:t>；工作人员做好个人卫生，不留长指甲，工作前或工作中接触脏物后必须洗手，不得对着食物咳嗽、打喷嚏，不能用工作服擦鼻涕、擦汗、擦手或厨具等，不能随地吐痰；工作人员搬送菜肴和餐具前必须洗手。</w:t>
      </w:r>
    </w:p>
    <w:p w14:paraId="1F19B40B">
      <w:pPr>
        <w:pStyle w:val="10"/>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textAlignment w:val="auto"/>
        <w:rPr>
          <w:rStyle w:val="57"/>
          <w:rFonts w:hint="eastAsia" w:ascii="宋体" w:hAnsi="宋体" w:eastAsia="宋体" w:cs="宋体"/>
          <w:b w:val="0"/>
          <w:i w:val="0"/>
          <w:caps w:val="0"/>
          <w:spacing w:val="0"/>
          <w:w w:val="100"/>
          <w:kern w:val="2"/>
          <w:sz w:val="22"/>
          <w:szCs w:val="22"/>
          <w:highlight w:val="none"/>
          <w:lang w:eastAsia="zh-CN" w:bidi="ar-SA"/>
        </w:rPr>
      </w:pPr>
      <w:r>
        <w:rPr>
          <w:rStyle w:val="57"/>
          <w:rFonts w:hint="eastAsia" w:ascii="宋体" w:hAnsi="宋体" w:eastAsia="宋体" w:cs="宋体"/>
          <w:b w:val="0"/>
          <w:i w:val="0"/>
          <w:caps w:val="0"/>
          <w:spacing w:val="0"/>
          <w:w w:val="100"/>
          <w:kern w:val="2"/>
          <w:sz w:val="22"/>
          <w:szCs w:val="22"/>
          <w:highlight w:val="none"/>
          <w:lang w:eastAsia="zh-CN" w:bidi="ar-SA"/>
        </w:rPr>
        <w:t>③厨房卫生环境：</w:t>
      </w:r>
      <w:r>
        <w:rPr>
          <w:rStyle w:val="57"/>
          <w:rFonts w:hint="default" w:ascii="宋体" w:hAnsi="宋体" w:cs="宋体"/>
          <w:b w:val="0"/>
          <w:i w:val="0"/>
          <w:caps w:val="0"/>
          <w:spacing w:val="0"/>
          <w:w w:val="100"/>
          <w:kern w:val="2"/>
          <w:sz w:val="22"/>
          <w:szCs w:val="22"/>
          <w:highlight w:val="none"/>
          <w:lang w:eastAsia="zh-CN" w:bidi="ar-SA"/>
        </w:rPr>
        <w:t>中标人</w:t>
      </w:r>
      <w:r>
        <w:rPr>
          <w:rStyle w:val="57"/>
          <w:rFonts w:hint="eastAsia" w:ascii="宋体" w:hAnsi="宋体" w:eastAsia="宋体" w:cs="宋体"/>
          <w:b w:val="0"/>
          <w:i w:val="0"/>
          <w:caps w:val="0"/>
          <w:spacing w:val="0"/>
          <w:w w:val="100"/>
          <w:kern w:val="2"/>
          <w:sz w:val="22"/>
          <w:szCs w:val="22"/>
          <w:highlight w:val="none"/>
          <w:lang w:eastAsia="zh-CN" w:bidi="ar-SA"/>
        </w:rPr>
        <w:t>要明确厨房作业分区，标注明晰，物品归类有序；食品原料新鲜，分类分架存放，离墙隔地，防尘防蝇；加工食品生与熟、成品与半成品、食品与杂物隔离存放；配菜与出菜盘专用，标志明显；生、熟食物的盛用容器、刀具等严格区分，不得混用；刀具无锈，工用具保持清洁、定位存放；每餐后台面地面要及时擦扫干净，厨具每天用专用的消毒剂进行处理，再用高温消毒柜进行全面消毒；保持厨房操作间排水畅通，不积存脏水污物，厨房地面、墙壁、门窗、桌椅清洁无油污，无</w:t>
      </w:r>
      <w:r>
        <w:rPr>
          <w:rStyle w:val="57"/>
          <w:rFonts w:hint="default" w:ascii="宋体" w:hAnsi="宋体" w:cs="宋体"/>
          <w:b w:val="0"/>
          <w:i w:val="0"/>
          <w:caps w:val="0"/>
          <w:spacing w:val="0"/>
          <w:w w:val="100"/>
          <w:kern w:val="2"/>
          <w:sz w:val="22"/>
          <w:szCs w:val="22"/>
          <w:highlight w:val="none"/>
          <w:lang w:eastAsia="zh-CN" w:bidi="ar-SA"/>
        </w:rPr>
        <w:t>污迹</w:t>
      </w:r>
      <w:r>
        <w:rPr>
          <w:rStyle w:val="57"/>
          <w:rFonts w:hint="eastAsia" w:ascii="宋体" w:hAnsi="宋体" w:eastAsia="宋体" w:cs="宋体"/>
          <w:b w:val="0"/>
          <w:i w:val="0"/>
          <w:caps w:val="0"/>
          <w:spacing w:val="0"/>
          <w:w w:val="100"/>
          <w:kern w:val="2"/>
          <w:sz w:val="22"/>
          <w:szCs w:val="22"/>
          <w:highlight w:val="none"/>
          <w:lang w:eastAsia="zh-CN" w:bidi="ar-SA"/>
        </w:rPr>
        <w:t>，无杂物，干净整齐；餐厨垃圾要按规定及时处理。</w:t>
      </w:r>
    </w:p>
    <w:p w14:paraId="45EB6850">
      <w:pPr>
        <w:pStyle w:val="10"/>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textAlignment w:val="auto"/>
        <w:rPr>
          <w:rStyle w:val="57"/>
          <w:rFonts w:hint="eastAsia" w:ascii="宋体" w:hAnsi="宋体" w:eastAsia="宋体" w:cs="宋体"/>
          <w:b w:val="0"/>
          <w:i w:val="0"/>
          <w:caps w:val="0"/>
          <w:spacing w:val="0"/>
          <w:w w:val="100"/>
          <w:kern w:val="2"/>
          <w:sz w:val="22"/>
          <w:szCs w:val="22"/>
          <w:highlight w:val="none"/>
          <w:lang w:eastAsia="zh-CN" w:bidi="ar-SA"/>
        </w:rPr>
      </w:pPr>
      <w:r>
        <w:rPr>
          <w:rStyle w:val="57"/>
          <w:rFonts w:hint="eastAsia" w:ascii="宋体" w:hAnsi="宋体" w:eastAsia="宋体" w:cs="宋体"/>
          <w:b w:val="0"/>
          <w:i w:val="0"/>
          <w:caps w:val="0"/>
          <w:spacing w:val="0"/>
          <w:w w:val="100"/>
          <w:kern w:val="2"/>
          <w:sz w:val="22"/>
          <w:szCs w:val="22"/>
          <w:highlight w:val="none"/>
          <w:lang w:eastAsia="zh-CN" w:bidi="ar-SA"/>
        </w:rPr>
        <w:t>④就餐区卫生环境：</w:t>
      </w:r>
      <w:r>
        <w:rPr>
          <w:rStyle w:val="57"/>
          <w:rFonts w:hint="default" w:ascii="宋体" w:hAnsi="宋体" w:cs="宋体"/>
          <w:b w:val="0"/>
          <w:i w:val="0"/>
          <w:caps w:val="0"/>
          <w:spacing w:val="0"/>
          <w:w w:val="100"/>
          <w:kern w:val="2"/>
          <w:sz w:val="22"/>
          <w:szCs w:val="22"/>
          <w:highlight w:val="none"/>
          <w:lang w:eastAsia="zh-CN" w:bidi="ar-SA"/>
        </w:rPr>
        <w:t>中标人</w:t>
      </w:r>
      <w:r>
        <w:rPr>
          <w:rStyle w:val="57"/>
          <w:rFonts w:hint="eastAsia" w:ascii="宋体" w:hAnsi="宋体" w:eastAsia="宋体" w:cs="宋体"/>
          <w:b w:val="0"/>
          <w:i w:val="0"/>
          <w:caps w:val="0"/>
          <w:spacing w:val="0"/>
          <w:w w:val="100"/>
          <w:kern w:val="2"/>
          <w:sz w:val="22"/>
          <w:szCs w:val="22"/>
          <w:highlight w:val="none"/>
          <w:lang w:eastAsia="zh-CN" w:bidi="ar-SA"/>
        </w:rPr>
        <w:t>要保证餐厅餐桌椅摆放整齐、桌上物品摆放有序；餐厅地面、墙壁无污物；餐具整洁干净，摆放有序，每餐洗净后及时进行消毒，消毒和消杀记录齐全。</w:t>
      </w:r>
    </w:p>
    <w:p w14:paraId="5FDB46DF">
      <w:pPr>
        <w:pStyle w:val="10"/>
        <w:keepNext w:val="0"/>
        <w:keepLines w:val="0"/>
        <w:pageBreakBefore w:val="0"/>
        <w:kinsoku/>
        <w:wordWrap/>
        <w:overflowPunct/>
        <w:topLinePunct w:val="0"/>
        <w:autoSpaceDE/>
        <w:autoSpaceDN/>
        <w:bidi w:val="0"/>
        <w:adjustRightInd/>
        <w:snapToGrid/>
        <w:spacing w:line="360" w:lineRule="auto"/>
        <w:ind w:firstLine="440" w:firstLineChars="200"/>
        <w:rPr>
          <w:rStyle w:val="57"/>
          <w:rFonts w:hint="eastAsia" w:ascii="宋体" w:hAnsi="宋体" w:eastAsia="宋体" w:cs="宋体"/>
          <w:b w:val="0"/>
          <w:i w:val="0"/>
          <w:caps w:val="0"/>
          <w:spacing w:val="0"/>
          <w:w w:val="100"/>
          <w:kern w:val="2"/>
          <w:sz w:val="22"/>
          <w:szCs w:val="22"/>
          <w:highlight w:val="none"/>
          <w:lang w:eastAsia="zh-CN" w:bidi="ar-SA"/>
        </w:rPr>
      </w:pPr>
      <w:r>
        <w:rPr>
          <w:rStyle w:val="57"/>
          <w:rFonts w:hint="eastAsia" w:ascii="宋体" w:hAnsi="宋体" w:eastAsia="宋体" w:cs="宋体"/>
          <w:b w:val="0"/>
          <w:i w:val="0"/>
          <w:caps w:val="0"/>
          <w:spacing w:val="0"/>
          <w:w w:val="100"/>
          <w:kern w:val="2"/>
          <w:sz w:val="22"/>
          <w:szCs w:val="22"/>
          <w:highlight w:val="none"/>
          <w:lang w:eastAsia="zh-CN" w:bidi="ar-SA"/>
        </w:rPr>
        <w:t>4.菜式出品要求</w:t>
      </w:r>
    </w:p>
    <w:p w14:paraId="5B327D77">
      <w:pPr>
        <w:pStyle w:val="10"/>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textAlignment w:val="auto"/>
        <w:rPr>
          <w:rStyle w:val="57"/>
          <w:rFonts w:hint="eastAsia" w:ascii="宋体" w:hAnsi="宋体" w:eastAsia="宋体" w:cs="宋体"/>
          <w:b w:val="0"/>
          <w:i w:val="0"/>
          <w:caps w:val="0"/>
          <w:spacing w:val="0"/>
          <w:w w:val="100"/>
          <w:kern w:val="2"/>
          <w:sz w:val="22"/>
          <w:szCs w:val="22"/>
          <w:highlight w:val="none"/>
          <w:lang w:eastAsia="zh-CN" w:bidi="ar-SA"/>
        </w:rPr>
      </w:pPr>
      <w:r>
        <w:rPr>
          <w:rStyle w:val="57"/>
          <w:rFonts w:hint="eastAsia" w:ascii="宋体" w:hAnsi="宋体" w:eastAsia="宋体" w:cs="宋体"/>
          <w:b w:val="0"/>
          <w:i w:val="0"/>
          <w:caps w:val="0"/>
          <w:spacing w:val="0"/>
          <w:w w:val="100"/>
          <w:kern w:val="2"/>
          <w:sz w:val="22"/>
          <w:szCs w:val="22"/>
          <w:highlight w:val="none"/>
          <w:lang w:eastAsia="zh-CN" w:bidi="ar-SA"/>
        </w:rPr>
        <w:t>①饮食菜谱：</w:t>
      </w:r>
      <w:r>
        <w:rPr>
          <w:rStyle w:val="57"/>
          <w:rFonts w:hint="default" w:ascii="宋体" w:hAnsi="宋体" w:cs="宋体"/>
          <w:b w:val="0"/>
          <w:i w:val="0"/>
          <w:caps w:val="0"/>
          <w:spacing w:val="0"/>
          <w:w w:val="100"/>
          <w:kern w:val="2"/>
          <w:sz w:val="22"/>
          <w:szCs w:val="22"/>
          <w:highlight w:val="none"/>
          <w:lang w:eastAsia="zh-CN" w:bidi="ar-SA"/>
        </w:rPr>
        <w:t>中标人</w:t>
      </w:r>
      <w:r>
        <w:rPr>
          <w:rStyle w:val="57"/>
          <w:rFonts w:hint="eastAsia" w:ascii="宋体" w:hAnsi="宋体" w:eastAsia="宋体" w:cs="宋体"/>
          <w:b w:val="0"/>
          <w:i w:val="0"/>
          <w:caps w:val="0"/>
          <w:spacing w:val="0"/>
          <w:w w:val="100"/>
          <w:kern w:val="2"/>
          <w:sz w:val="22"/>
          <w:szCs w:val="22"/>
          <w:highlight w:val="none"/>
          <w:lang w:eastAsia="zh-CN" w:bidi="ar-SA"/>
        </w:rPr>
        <w:t>应制定科学的饮食菜谱，保障食堂供餐的质量和选择需求；</w:t>
      </w:r>
      <w:r>
        <w:rPr>
          <w:rStyle w:val="57"/>
          <w:rFonts w:hint="default" w:ascii="宋体" w:hAnsi="宋体" w:cs="宋体"/>
          <w:b w:val="0"/>
          <w:i w:val="0"/>
          <w:caps w:val="0"/>
          <w:spacing w:val="0"/>
          <w:w w:val="100"/>
          <w:kern w:val="2"/>
          <w:sz w:val="22"/>
          <w:szCs w:val="22"/>
          <w:highlight w:val="none"/>
          <w:lang w:eastAsia="zh-CN" w:bidi="ar-SA"/>
        </w:rPr>
        <w:t>中标人</w:t>
      </w:r>
      <w:r>
        <w:rPr>
          <w:rStyle w:val="57"/>
          <w:rFonts w:hint="eastAsia" w:ascii="宋体" w:hAnsi="宋体" w:eastAsia="宋体" w:cs="宋体"/>
          <w:b w:val="0"/>
          <w:i w:val="0"/>
          <w:caps w:val="0"/>
          <w:spacing w:val="0"/>
          <w:w w:val="100"/>
          <w:kern w:val="2"/>
          <w:sz w:val="22"/>
          <w:szCs w:val="22"/>
          <w:highlight w:val="none"/>
          <w:lang w:eastAsia="zh-CN" w:bidi="ar-SA"/>
        </w:rPr>
        <w:t>应当于每周五前将制订好的下周食谱报</w:t>
      </w:r>
      <w:r>
        <w:rPr>
          <w:rStyle w:val="57"/>
          <w:rFonts w:hint="default" w:ascii="宋体" w:hAnsi="宋体" w:cs="宋体"/>
          <w:b w:val="0"/>
          <w:i w:val="0"/>
          <w:caps w:val="0"/>
          <w:spacing w:val="0"/>
          <w:w w:val="100"/>
          <w:kern w:val="2"/>
          <w:sz w:val="22"/>
          <w:szCs w:val="22"/>
          <w:highlight w:val="none"/>
          <w:lang w:eastAsia="zh-CN" w:bidi="ar-SA"/>
        </w:rPr>
        <w:t>采购人</w:t>
      </w:r>
      <w:r>
        <w:rPr>
          <w:rStyle w:val="57"/>
          <w:rFonts w:hint="eastAsia" w:ascii="宋体" w:hAnsi="宋体" w:eastAsia="宋体" w:cs="宋体"/>
          <w:b w:val="0"/>
          <w:i w:val="0"/>
          <w:caps w:val="0"/>
          <w:spacing w:val="0"/>
          <w:w w:val="100"/>
          <w:kern w:val="2"/>
          <w:sz w:val="22"/>
          <w:szCs w:val="22"/>
          <w:highlight w:val="none"/>
          <w:lang w:eastAsia="zh-CN" w:bidi="ar-SA"/>
        </w:rPr>
        <w:t>，经</w:t>
      </w:r>
      <w:r>
        <w:rPr>
          <w:rStyle w:val="57"/>
          <w:rFonts w:hint="default" w:ascii="宋体" w:hAnsi="宋体" w:cs="宋体"/>
          <w:b w:val="0"/>
          <w:i w:val="0"/>
          <w:caps w:val="0"/>
          <w:spacing w:val="0"/>
          <w:w w:val="100"/>
          <w:kern w:val="2"/>
          <w:sz w:val="22"/>
          <w:szCs w:val="22"/>
          <w:highlight w:val="none"/>
          <w:lang w:eastAsia="zh-CN" w:bidi="ar-SA"/>
        </w:rPr>
        <w:t>采购人</w:t>
      </w:r>
      <w:r>
        <w:rPr>
          <w:rStyle w:val="57"/>
          <w:rFonts w:hint="eastAsia" w:ascii="宋体" w:hAnsi="宋体" w:eastAsia="宋体" w:cs="宋体"/>
          <w:b w:val="0"/>
          <w:i w:val="0"/>
          <w:caps w:val="0"/>
          <w:spacing w:val="0"/>
          <w:w w:val="100"/>
          <w:kern w:val="2"/>
          <w:sz w:val="22"/>
          <w:szCs w:val="22"/>
          <w:highlight w:val="none"/>
          <w:lang w:eastAsia="zh-CN" w:bidi="ar-SA"/>
        </w:rPr>
        <w:t>确认同意后予以实施。</w:t>
      </w:r>
    </w:p>
    <w:p w14:paraId="3DE9AC41">
      <w:pPr>
        <w:pStyle w:val="10"/>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textAlignment w:val="auto"/>
        <w:rPr>
          <w:rStyle w:val="57"/>
          <w:rFonts w:hint="eastAsia" w:ascii="宋体" w:hAnsi="宋体" w:eastAsia="宋体" w:cs="宋体"/>
          <w:b w:val="0"/>
          <w:i w:val="0"/>
          <w:caps w:val="0"/>
          <w:spacing w:val="0"/>
          <w:w w:val="100"/>
          <w:kern w:val="2"/>
          <w:sz w:val="22"/>
          <w:szCs w:val="22"/>
          <w:highlight w:val="none"/>
          <w:lang w:eastAsia="zh-CN" w:bidi="ar-SA"/>
        </w:rPr>
      </w:pPr>
      <w:r>
        <w:rPr>
          <w:rStyle w:val="57"/>
          <w:rFonts w:hint="eastAsia" w:ascii="宋体" w:hAnsi="宋体" w:eastAsia="宋体" w:cs="宋体"/>
          <w:b w:val="0"/>
          <w:i w:val="0"/>
          <w:caps w:val="0"/>
          <w:spacing w:val="0"/>
          <w:w w:val="100"/>
          <w:kern w:val="2"/>
          <w:sz w:val="22"/>
          <w:szCs w:val="22"/>
          <w:highlight w:val="none"/>
          <w:lang w:eastAsia="zh-CN" w:bidi="ar-SA"/>
        </w:rPr>
        <w:t>②菜式品种：保障菜式多样化，根据</w:t>
      </w:r>
      <w:r>
        <w:rPr>
          <w:rStyle w:val="57"/>
          <w:rFonts w:hint="default" w:ascii="宋体" w:hAnsi="宋体" w:cs="宋体"/>
          <w:b w:val="0"/>
          <w:i w:val="0"/>
          <w:caps w:val="0"/>
          <w:spacing w:val="0"/>
          <w:w w:val="100"/>
          <w:kern w:val="2"/>
          <w:sz w:val="22"/>
          <w:szCs w:val="22"/>
          <w:highlight w:val="none"/>
          <w:lang w:eastAsia="zh-CN" w:bidi="ar-SA"/>
        </w:rPr>
        <w:t>采购人</w:t>
      </w:r>
      <w:r>
        <w:rPr>
          <w:rStyle w:val="57"/>
          <w:rFonts w:hint="eastAsia" w:ascii="宋体" w:hAnsi="宋体" w:eastAsia="宋体" w:cs="宋体"/>
          <w:b w:val="0"/>
          <w:i w:val="0"/>
          <w:caps w:val="0"/>
          <w:spacing w:val="0"/>
          <w:w w:val="100"/>
          <w:kern w:val="2"/>
          <w:sz w:val="22"/>
          <w:szCs w:val="22"/>
          <w:highlight w:val="none"/>
          <w:lang w:eastAsia="zh-CN" w:bidi="ar-SA"/>
        </w:rPr>
        <w:t>实际需求进行调整配置。</w:t>
      </w:r>
    </w:p>
    <w:p w14:paraId="74ECE92F">
      <w:pPr>
        <w:pStyle w:val="10"/>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textAlignment w:val="auto"/>
        <w:rPr>
          <w:rStyle w:val="57"/>
          <w:rFonts w:hint="eastAsia" w:ascii="宋体" w:hAnsi="宋体" w:eastAsia="宋体" w:cs="宋体"/>
          <w:b w:val="0"/>
          <w:i w:val="0"/>
          <w:caps w:val="0"/>
          <w:spacing w:val="0"/>
          <w:w w:val="100"/>
          <w:kern w:val="2"/>
          <w:sz w:val="22"/>
          <w:szCs w:val="22"/>
          <w:highlight w:val="none"/>
          <w:lang w:eastAsia="zh-CN" w:bidi="ar-SA"/>
        </w:rPr>
      </w:pPr>
      <w:r>
        <w:rPr>
          <w:rStyle w:val="57"/>
          <w:rFonts w:hint="eastAsia" w:ascii="宋体" w:hAnsi="宋体" w:eastAsia="宋体" w:cs="宋体"/>
          <w:b w:val="0"/>
          <w:i w:val="0"/>
          <w:caps w:val="0"/>
          <w:spacing w:val="0"/>
          <w:w w:val="100"/>
          <w:kern w:val="2"/>
          <w:sz w:val="22"/>
          <w:szCs w:val="22"/>
          <w:highlight w:val="none"/>
          <w:lang w:eastAsia="zh-CN" w:bidi="ar-SA"/>
        </w:rPr>
        <w:t>③菜肴质量：</w:t>
      </w:r>
      <w:r>
        <w:rPr>
          <w:rStyle w:val="57"/>
          <w:rFonts w:hint="default" w:ascii="宋体" w:hAnsi="宋体" w:cs="宋体"/>
          <w:b w:val="0"/>
          <w:i w:val="0"/>
          <w:caps w:val="0"/>
          <w:spacing w:val="0"/>
          <w:w w:val="100"/>
          <w:kern w:val="2"/>
          <w:sz w:val="22"/>
          <w:szCs w:val="22"/>
          <w:highlight w:val="none"/>
          <w:lang w:eastAsia="zh-CN" w:bidi="ar-SA"/>
        </w:rPr>
        <w:t>中标人须全程控制菜肴制作过程的安全卫生，确保无食物中毒或因食物引起的其他不良反应；菜肴新鲜，色泽良好，无过期及腐烂变质的食物；控制油及其他调味品用量，菜肴品种齐全，营养搭配合理；菜肴口味好，咸淡适中，并保证饭菜热度；菜肴及时更新，能够根据季节变化、用餐人员需求，适时调整菜式品种以及推出时令菜；根据就餐情况，合理提供菜肴，杜绝浪费。</w:t>
      </w:r>
    </w:p>
    <w:p w14:paraId="3432CC1A">
      <w:pPr>
        <w:pStyle w:val="10"/>
        <w:keepNext w:val="0"/>
        <w:keepLines w:val="0"/>
        <w:pageBreakBefore w:val="0"/>
        <w:kinsoku/>
        <w:wordWrap/>
        <w:overflowPunct/>
        <w:topLinePunct w:val="0"/>
        <w:autoSpaceDE/>
        <w:autoSpaceDN/>
        <w:bidi w:val="0"/>
        <w:adjustRightInd/>
        <w:snapToGrid/>
        <w:spacing w:line="360" w:lineRule="auto"/>
        <w:ind w:firstLine="440" w:firstLineChars="200"/>
        <w:rPr>
          <w:rStyle w:val="57"/>
          <w:rFonts w:hint="eastAsia" w:ascii="宋体" w:hAnsi="宋体" w:eastAsia="宋体" w:cs="宋体"/>
          <w:b w:val="0"/>
          <w:i w:val="0"/>
          <w:caps w:val="0"/>
          <w:spacing w:val="0"/>
          <w:w w:val="100"/>
          <w:kern w:val="2"/>
          <w:sz w:val="22"/>
          <w:szCs w:val="22"/>
          <w:highlight w:val="none"/>
          <w:lang w:eastAsia="zh-CN" w:bidi="ar-SA"/>
        </w:rPr>
      </w:pPr>
      <w:r>
        <w:rPr>
          <w:rStyle w:val="57"/>
          <w:rFonts w:hint="eastAsia" w:ascii="宋体" w:hAnsi="宋体" w:eastAsia="宋体" w:cs="宋体"/>
          <w:b w:val="0"/>
          <w:i w:val="0"/>
          <w:caps w:val="0"/>
          <w:spacing w:val="0"/>
          <w:w w:val="100"/>
          <w:kern w:val="2"/>
          <w:sz w:val="22"/>
          <w:szCs w:val="22"/>
          <w:highlight w:val="none"/>
          <w:lang w:eastAsia="zh-CN" w:bidi="ar-SA"/>
        </w:rPr>
        <w:t>5.设施管理要求</w:t>
      </w:r>
    </w:p>
    <w:p w14:paraId="3102FCB8">
      <w:pPr>
        <w:pStyle w:val="10"/>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textAlignment w:val="auto"/>
        <w:rPr>
          <w:rStyle w:val="57"/>
          <w:rFonts w:hint="eastAsia" w:ascii="宋体" w:hAnsi="宋体" w:eastAsia="宋体" w:cs="宋体"/>
          <w:b w:val="0"/>
          <w:i w:val="0"/>
          <w:caps w:val="0"/>
          <w:spacing w:val="0"/>
          <w:w w:val="100"/>
          <w:kern w:val="2"/>
          <w:sz w:val="22"/>
          <w:szCs w:val="22"/>
          <w:highlight w:val="none"/>
          <w:lang w:val="en-US" w:eastAsia="zh-CN" w:bidi="ar-SA"/>
        </w:rPr>
      </w:pPr>
      <w:r>
        <w:rPr>
          <w:rStyle w:val="57"/>
          <w:rFonts w:hint="eastAsia" w:ascii="宋体" w:hAnsi="宋体" w:eastAsia="宋体" w:cs="宋体"/>
          <w:b w:val="0"/>
          <w:i w:val="0"/>
          <w:caps w:val="0"/>
          <w:spacing w:val="0"/>
          <w:w w:val="100"/>
          <w:kern w:val="2"/>
          <w:sz w:val="22"/>
          <w:szCs w:val="22"/>
          <w:highlight w:val="none"/>
          <w:lang w:eastAsia="zh-CN" w:bidi="ar-SA"/>
        </w:rPr>
        <w:t>①</w:t>
      </w:r>
      <w:r>
        <w:rPr>
          <w:rStyle w:val="57"/>
          <w:rFonts w:hint="eastAsia" w:ascii="宋体" w:hAnsi="宋体" w:eastAsia="宋体" w:cs="宋体"/>
          <w:b w:val="0"/>
          <w:i w:val="0"/>
          <w:caps w:val="0"/>
          <w:spacing w:val="0"/>
          <w:w w:val="100"/>
          <w:kern w:val="2"/>
          <w:sz w:val="22"/>
          <w:szCs w:val="22"/>
          <w:highlight w:val="none"/>
          <w:lang w:val="en-US" w:eastAsia="zh-CN" w:bidi="ar-SA"/>
        </w:rPr>
        <w:t>食堂、厨房设备设施由</w:t>
      </w:r>
      <w:r>
        <w:rPr>
          <w:rStyle w:val="57"/>
          <w:rFonts w:hint="default" w:ascii="宋体" w:hAnsi="宋体" w:cs="宋体"/>
          <w:b w:val="0"/>
          <w:i w:val="0"/>
          <w:caps w:val="0"/>
          <w:spacing w:val="0"/>
          <w:w w:val="100"/>
          <w:kern w:val="2"/>
          <w:sz w:val="22"/>
          <w:szCs w:val="22"/>
          <w:highlight w:val="none"/>
          <w:lang w:eastAsia="zh-CN" w:bidi="ar-SA"/>
        </w:rPr>
        <w:t>采购人</w:t>
      </w:r>
      <w:r>
        <w:rPr>
          <w:rStyle w:val="57"/>
          <w:rFonts w:hint="eastAsia" w:ascii="宋体" w:hAnsi="宋体" w:eastAsia="宋体" w:cs="宋体"/>
          <w:b w:val="0"/>
          <w:i w:val="0"/>
          <w:caps w:val="0"/>
          <w:spacing w:val="0"/>
          <w:w w:val="100"/>
          <w:kern w:val="2"/>
          <w:sz w:val="22"/>
          <w:szCs w:val="22"/>
          <w:highlight w:val="none"/>
          <w:lang w:val="en-US" w:eastAsia="zh-CN" w:bidi="ar-SA"/>
        </w:rPr>
        <w:t>提供，</w:t>
      </w:r>
      <w:r>
        <w:rPr>
          <w:rStyle w:val="57"/>
          <w:rFonts w:hint="default" w:ascii="宋体" w:hAnsi="宋体" w:cs="宋体"/>
          <w:b w:val="0"/>
          <w:i w:val="0"/>
          <w:caps w:val="0"/>
          <w:spacing w:val="0"/>
          <w:w w:val="100"/>
          <w:kern w:val="2"/>
          <w:sz w:val="22"/>
          <w:szCs w:val="22"/>
          <w:highlight w:val="none"/>
          <w:lang w:eastAsia="zh-CN" w:bidi="ar-SA"/>
        </w:rPr>
        <w:t>中标人</w:t>
      </w:r>
      <w:r>
        <w:rPr>
          <w:rStyle w:val="57"/>
          <w:rFonts w:hint="eastAsia" w:ascii="宋体" w:hAnsi="宋体" w:eastAsia="宋体" w:cs="宋体"/>
          <w:b w:val="0"/>
          <w:i w:val="0"/>
          <w:caps w:val="0"/>
          <w:spacing w:val="0"/>
          <w:w w:val="100"/>
          <w:kern w:val="2"/>
          <w:sz w:val="22"/>
          <w:szCs w:val="22"/>
          <w:highlight w:val="none"/>
          <w:lang w:val="en-US" w:eastAsia="zh-CN" w:bidi="ar-SA"/>
        </w:rPr>
        <w:t>进驻服务场所后，应当面对面与</w:t>
      </w:r>
      <w:r>
        <w:rPr>
          <w:rStyle w:val="57"/>
          <w:rFonts w:hint="default" w:ascii="宋体" w:hAnsi="宋体" w:cs="宋体"/>
          <w:b w:val="0"/>
          <w:i w:val="0"/>
          <w:caps w:val="0"/>
          <w:spacing w:val="0"/>
          <w:w w:val="100"/>
          <w:kern w:val="2"/>
          <w:sz w:val="22"/>
          <w:szCs w:val="22"/>
          <w:highlight w:val="none"/>
          <w:lang w:eastAsia="zh-CN" w:bidi="ar-SA"/>
        </w:rPr>
        <w:t>采购人</w:t>
      </w:r>
      <w:r>
        <w:rPr>
          <w:rStyle w:val="57"/>
          <w:rFonts w:hint="eastAsia" w:ascii="宋体" w:hAnsi="宋体" w:eastAsia="宋体" w:cs="宋体"/>
          <w:b w:val="0"/>
          <w:i w:val="0"/>
          <w:caps w:val="0"/>
          <w:spacing w:val="0"/>
          <w:w w:val="100"/>
          <w:kern w:val="2"/>
          <w:sz w:val="22"/>
          <w:szCs w:val="22"/>
          <w:highlight w:val="none"/>
          <w:lang w:val="en-US" w:eastAsia="zh-CN" w:bidi="ar-SA"/>
        </w:rPr>
        <w:t>清点厨房设备和厨具情况，开列清单确认，认真保管，严格按使用规程操作厨房及食堂设施、设备，严禁私自改造</w:t>
      </w:r>
      <w:r>
        <w:rPr>
          <w:rStyle w:val="57"/>
          <w:rFonts w:hint="default" w:ascii="宋体" w:hAnsi="宋体" w:cs="宋体"/>
          <w:b w:val="0"/>
          <w:i w:val="0"/>
          <w:caps w:val="0"/>
          <w:spacing w:val="0"/>
          <w:w w:val="100"/>
          <w:kern w:val="2"/>
          <w:sz w:val="22"/>
          <w:szCs w:val="22"/>
          <w:highlight w:val="none"/>
          <w:lang w:eastAsia="zh-CN" w:bidi="ar-SA"/>
        </w:rPr>
        <w:t>采购人</w:t>
      </w:r>
      <w:r>
        <w:rPr>
          <w:rStyle w:val="57"/>
          <w:rFonts w:hint="eastAsia" w:ascii="宋体" w:hAnsi="宋体" w:eastAsia="宋体" w:cs="宋体"/>
          <w:b w:val="0"/>
          <w:i w:val="0"/>
          <w:caps w:val="0"/>
          <w:spacing w:val="0"/>
          <w:w w:val="100"/>
          <w:kern w:val="2"/>
          <w:sz w:val="22"/>
          <w:szCs w:val="22"/>
          <w:highlight w:val="none"/>
          <w:lang w:val="en-US" w:eastAsia="zh-CN" w:bidi="ar-SA"/>
        </w:rPr>
        <w:t>提供的一切使用设备，服务期满如数退还</w:t>
      </w:r>
      <w:r>
        <w:rPr>
          <w:rStyle w:val="57"/>
          <w:rFonts w:hint="default" w:ascii="宋体" w:hAnsi="宋体" w:cs="宋体"/>
          <w:b w:val="0"/>
          <w:i w:val="0"/>
          <w:caps w:val="0"/>
          <w:spacing w:val="0"/>
          <w:w w:val="100"/>
          <w:kern w:val="2"/>
          <w:sz w:val="22"/>
          <w:szCs w:val="22"/>
          <w:highlight w:val="none"/>
          <w:lang w:eastAsia="zh-CN" w:bidi="ar-SA"/>
        </w:rPr>
        <w:t>采购人</w:t>
      </w:r>
      <w:r>
        <w:rPr>
          <w:rStyle w:val="57"/>
          <w:rFonts w:hint="eastAsia" w:ascii="宋体" w:hAnsi="宋体" w:eastAsia="宋体" w:cs="宋体"/>
          <w:b w:val="0"/>
          <w:i w:val="0"/>
          <w:caps w:val="0"/>
          <w:spacing w:val="0"/>
          <w:w w:val="100"/>
          <w:kern w:val="2"/>
          <w:sz w:val="22"/>
          <w:szCs w:val="22"/>
          <w:highlight w:val="none"/>
          <w:lang w:val="en-US" w:eastAsia="zh-CN" w:bidi="ar-SA"/>
        </w:rPr>
        <w:t>。</w:t>
      </w:r>
    </w:p>
    <w:p w14:paraId="60FE5562">
      <w:pPr>
        <w:pStyle w:val="10"/>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textAlignment w:val="auto"/>
        <w:rPr>
          <w:rStyle w:val="57"/>
          <w:rFonts w:hint="eastAsia" w:ascii="宋体" w:hAnsi="宋体" w:eastAsia="宋体" w:cs="宋体"/>
          <w:b w:val="0"/>
          <w:i w:val="0"/>
          <w:caps w:val="0"/>
          <w:spacing w:val="0"/>
          <w:w w:val="100"/>
          <w:kern w:val="2"/>
          <w:sz w:val="22"/>
          <w:szCs w:val="22"/>
          <w:highlight w:val="none"/>
          <w:lang w:val="en-US" w:eastAsia="zh-CN" w:bidi="ar-SA"/>
        </w:rPr>
      </w:pPr>
      <w:r>
        <w:rPr>
          <w:rStyle w:val="57"/>
          <w:rFonts w:hint="eastAsia" w:ascii="宋体" w:hAnsi="宋体" w:eastAsia="宋体" w:cs="宋体"/>
          <w:b w:val="0"/>
          <w:i w:val="0"/>
          <w:caps w:val="0"/>
          <w:spacing w:val="0"/>
          <w:w w:val="100"/>
          <w:kern w:val="2"/>
          <w:sz w:val="22"/>
          <w:szCs w:val="22"/>
          <w:highlight w:val="none"/>
          <w:lang w:eastAsia="zh-CN" w:bidi="ar-SA"/>
        </w:rPr>
        <w:t>②</w:t>
      </w:r>
      <w:r>
        <w:rPr>
          <w:rStyle w:val="57"/>
          <w:rFonts w:hint="default" w:ascii="宋体" w:hAnsi="宋体" w:cs="宋体"/>
          <w:b w:val="0"/>
          <w:i w:val="0"/>
          <w:caps w:val="0"/>
          <w:spacing w:val="0"/>
          <w:w w:val="100"/>
          <w:kern w:val="2"/>
          <w:sz w:val="22"/>
          <w:szCs w:val="22"/>
          <w:highlight w:val="none"/>
          <w:lang w:eastAsia="zh-CN" w:bidi="ar-SA"/>
        </w:rPr>
        <w:t>中标人</w:t>
      </w:r>
      <w:r>
        <w:rPr>
          <w:rStyle w:val="57"/>
          <w:rFonts w:hint="eastAsia" w:ascii="宋体" w:hAnsi="宋体" w:eastAsia="宋体" w:cs="宋体"/>
          <w:b w:val="0"/>
          <w:i w:val="0"/>
          <w:caps w:val="0"/>
          <w:spacing w:val="0"/>
          <w:w w:val="100"/>
          <w:kern w:val="2"/>
          <w:sz w:val="22"/>
          <w:szCs w:val="22"/>
          <w:highlight w:val="none"/>
          <w:lang w:val="en-US" w:eastAsia="zh-CN" w:bidi="ar-SA"/>
        </w:rPr>
        <w:t>做好食堂设备财产和物资管理，</w:t>
      </w:r>
      <w:r>
        <w:rPr>
          <w:rStyle w:val="57"/>
          <w:rFonts w:hint="default" w:ascii="宋体" w:hAnsi="宋体" w:cs="宋体"/>
          <w:b w:val="0"/>
          <w:i w:val="0"/>
          <w:caps w:val="0"/>
          <w:spacing w:val="0"/>
          <w:w w:val="100"/>
          <w:kern w:val="2"/>
          <w:sz w:val="22"/>
          <w:szCs w:val="22"/>
          <w:highlight w:val="none"/>
          <w:lang w:eastAsia="zh-CN" w:bidi="ar-SA"/>
        </w:rPr>
        <w:t>确保</w:t>
      </w:r>
      <w:r>
        <w:rPr>
          <w:rStyle w:val="57"/>
          <w:rFonts w:hint="eastAsia" w:ascii="宋体" w:hAnsi="宋体" w:eastAsia="宋体" w:cs="宋体"/>
          <w:b w:val="0"/>
          <w:i w:val="0"/>
          <w:caps w:val="0"/>
          <w:spacing w:val="0"/>
          <w:w w:val="100"/>
          <w:kern w:val="2"/>
          <w:sz w:val="22"/>
          <w:szCs w:val="22"/>
          <w:highlight w:val="none"/>
          <w:lang w:val="en-US" w:eastAsia="zh-CN" w:bidi="ar-SA"/>
        </w:rPr>
        <w:t>无财产及物资外流、人为损坏和偷盗等现象发生，如人为损坏或丢失的由</w:t>
      </w:r>
      <w:r>
        <w:rPr>
          <w:rStyle w:val="57"/>
          <w:rFonts w:hint="default" w:ascii="宋体" w:hAnsi="宋体" w:cs="宋体"/>
          <w:b w:val="0"/>
          <w:i w:val="0"/>
          <w:caps w:val="0"/>
          <w:spacing w:val="0"/>
          <w:w w:val="100"/>
          <w:kern w:val="2"/>
          <w:sz w:val="22"/>
          <w:szCs w:val="22"/>
          <w:highlight w:val="none"/>
          <w:lang w:eastAsia="zh-CN" w:bidi="ar-SA"/>
        </w:rPr>
        <w:t>中标人</w:t>
      </w:r>
      <w:r>
        <w:rPr>
          <w:rStyle w:val="57"/>
          <w:rFonts w:hint="eastAsia" w:ascii="宋体" w:hAnsi="宋体" w:eastAsia="宋体" w:cs="宋体"/>
          <w:b w:val="0"/>
          <w:i w:val="0"/>
          <w:caps w:val="0"/>
          <w:spacing w:val="0"/>
          <w:w w:val="100"/>
          <w:kern w:val="2"/>
          <w:sz w:val="22"/>
          <w:szCs w:val="22"/>
          <w:highlight w:val="none"/>
          <w:lang w:val="en-US" w:eastAsia="zh-CN" w:bidi="ar-SA"/>
        </w:rPr>
        <w:t>负责修理或赔偿。</w:t>
      </w:r>
    </w:p>
    <w:p w14:paraId="10BE39FE">
      <w:pPr>
        <w:pStyle w:val="10"/>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textAlignment w:val="auto"/>
        <w:rPr>
          <w:rStyle w:val="57"/>
          <w:rFonts w:hint="eastAsia" w:ascii="宋体" w:hAnsi="宋体" w:eastAsia="宋体" w:cs="宋体"/>
          <w:b w:val="0"/>
          <w:i w:val="0"/>
          <w:caps w:val="0"/>
          <w:spacing w:val="0"/>
          <w:w w:val="100"/>
          <w:kern w:val="2"/>
          <w:sz w:val="22"/>
          <w:szCs w:val="22"/>
          <w:highlight w:val="none"/>
          <w:lang w:val="en-US" w:eastAsia="zh-CN" w:bidi="ar-SA"/>
        </w:rPr>
      </w:pPr>
      <w:r>
        <w:rPr>
          <w:rStyle w:val="57"/>
          <w:rFonts w:hint="eastAsia" w:ascii="宋体" w:hAnsi="宋体" w:eastAsia="宋体" w:cs="宋体"/>
          <w:b w:val="0"/>
          <w:i w:val="0"/>
          <w:caps w:val="0"/>
          <w:spacing w:val="0"/>
          <w:w w:val="100"/>
          <w:kern w:val="2"/>
          <w:sz w:val="22"/>
          <w:szCs w:val="22"/>
          <w:highlight w:val="none"/>
          <w:lang w:eastAsia="zh-CN" w:bidi="ar-SA"/>
        </w:rPr>
        <w:t>③</w:t>
      </w:r>
      <w:r>
        <w:rPr>
          <w:rStyle w:val="57"/>
          <w:rFonts w:hint="default" w:ascii="宋体" w:hAnsi="宋体" w:cs="宋体"/>
          <w:b w:val="0"/>
          <w:i w:val="0"/>
          <w:caps w:val="0"/>
          <w:spacing w:val="0"/>
          <w:w w:val="100"/>
          <w:kern w:val="2"/>
          <w:sz w:val="22"/>
          <w:szCs w:val="22"/>
          <w:highlight w:val="none"/>
          <w:lang w:eastAsia="zh-CN" w:bidi="ar-SA"/>
        </w:rPr>
        <w:t>中标人</w:t>
      </w:r>
      <w:r>
        <w:rPr>
          <w:rStyle w:val="57"/>
          <w:rFonts w:hint="eastAsia" w:ascii="宋体" w:hAnsi="宋体" w:eastAsia="宋体" w:cs="宋体"/>
          <w:b w:val="0"/>
          <w:i w:val="0"/>
          <w:caps w:val="0"/>
          <w:spacing w:val="0"/>
          <w:w w:val="100"/>
          <w:kern w:val="2"/>
          <w:sz w:val="22"/>
          <w:szCs w:val="22"/>
          <w:highlight w:val="none"/>
          <w:lang w:val="en-US" w:eastAsia="zh-CN" w:bidi="ar-SA"/>
        </w:rPr>
        <w:t>应制定相关节能措施，落实水、电、燃气等能耗管理，做好垃圾分类管理。</w:t>
      </w:r>
    </w:p>
    <w:p w14:paraId="5C597962">
      <w:pPr>
        <w:pStyle w:val="10"/>
        <w:keepNext w:val="0"/>
        <w:keepLines w:val="0"/>
        <w:pageBreakBefore w:val="0"/>
        <w:kinsoku/>
        <w:wordWrap/>
        <w:overflowPunct/>
        <w:topLinePunct w:val="0"/>
        <w:autoSpaceDE/>
        <w:autoSpaceDN/>
        <w:bidi w:val="0"/>
        <w:adjustRightInd/>
        <w:snapToGrid/>
        <w:spacing w:line="360" w:lineRule="auto"/>
        <w:ind w:firstLine="440" w:firstLineChars="200"/>
        <w:rPr>
          <w:rStyle w:val="57"/>
          <w:rFonts w:hint="default" w:ascii="宋体" w:hAnsi="宋体" w:cs="宋体"/>
          <w:b w:val="0"/>
          <w:i w:val="0"/>
          <w:caps w:val="0"/>
          <w:spacing w:val="0"/>
          <w:w w:val="100"/>
          <w:kern w:val="2"/>
          <w:sz w:val="22"/>
          <w:szCs w:val="22"/>
          <w:highlight w:val="none"/>
          <w:lang w:eastAsia="zh-CN" w:bidi="ar-SA"/>
        </w:rPr>
      </w:pPr>
      <w:r>
        <w:rPr>
          <w:rStyle w:val="57"/>
          <w:rFonts w:hint="default" w:ascii="宋体" w:hAnsi="宋体" w:cs="宋体"/>
          <w:b w:val="0"/>
          <w:i w:val="0"/>
          <w:caps w:val="0"/>
          <w:spacing w:val="0"/>
          <w:w w:val="100"/>
          <w:kern w:val="2"/>
          <w:sz w:val="22"/>
          <w:szCs w:val="22"/>
          <w:highlight w:val="none"/>
          <w:lang w:eastAsia="zh-CN" w:bidi="ar-SA"/>
        </w:rPr>
        <w:t>6.安全生产管理要求</w:t>
      </w:r>
    </w:p>
    <w:p w14:paraId="6807262A">
      <w:pPr>
        <w:pStyle w:val="10"/>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textAlignment w:val="auto"/>
        <w:rPr>
          <w:rStyle w:val="57"/>
          <w:rFonts w:hint="eastAsia" w:ascii="宋体" w:hAnsi="宋体" w:eastAsia="宋体" w:cs="宋体"/>
          <w:b w:val="0"/>
          <w:i w:val="0"/>
          <w:caps w:val="0"/>
          <w:spacing w:val="0"/>
          <w:w w:val="100"/>
          <w:kern w:val="2"/>
          <w:sz w:val="22"/>
          <w:szCs w:val="22"/>
          <w:highlight w:val="none"/>
          <w:lang w:eastAsia="zh-CN" w:bidi="ar-SA"/>
        </w:rPr>
      </w:pPr>
      <w:r>
        <w:rPr>
          <w:rStyle w:val="57"/>
          <w:rFonts w:hint="eastAsia" w:ascii="宋体" w:hAnsi="宋体" w:eastAsia="宋体" w:cs="宋体"/>
          <w:b w:val="0"/>
          <w:i w:val="0"/>
          <w:caps w:val="0"/>
          <w:spacing w:val="0"/>
          <w:w w:val="100"/>
          <w:kern w:val="2"/>
          <w:sz w:val="22"/>
          <w:szCs w:val="22"/>
          <w:highlight w:val="none"/>
          <w:lang w:eastAsia="zh-CN" w:bidi="ar-SA"/>
        </w:rPr>
        <w:t>①中标人必须遵循“安全第一、预防为主”的方针，遵守国家有关安全生产的法律、法规，制订切实可行的安全生产管理制度、操作规程和应急预案等，落实食堂安全生产管理主体责任。</w:t>
      </w:r>
    </w:p>
    <w:p w14:paraId="6BCA2BE4">
      <w:pPr>
        <w:pStyle w:val="10"/>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textAlignment w:val="auto"/>
        <w:rPr>
          <w:rStyle w:val="57"/>
          <w:rFonts w:hint="eastAsia" w:ascii="宋体" w:hAnsi="宋体" w:eastAsia="宋体" w:cs="宋体"/>
          <w:b w:val="0"/>
          <w:i w:val="0"/>
          <w:caps w:val="0"/>
          <w:spacing w:val="0"/>
          <w:w w:val="100"/>
          <w:kern w:val="2"/>
          <w:sz w:val="22"/>
          <w:szCs w:val="22"/>
          <w:highlight w:val="none"/>
          <w:lang w:eastAsia="zh-CN" w:bidi="ar-SA"/>
        </w:rPr>
      </w:pPr>
      <w:r>
        <w:rPr>
          <w:rStyle w:val="57"/>
          <w:rFonts w:hint="eastAsia" w:ascii="宋体" w:hAnsi="宋体" w:eastAsia="宋体" w:cs="宋体"/>
          <w:b w:val="0"/>
          <w:i w:val="0"/>
          <w:caps w:val="0"/>
          <w:spacing w:val="0"/>
          <w:w w:val="100"/>
          <w:kern w:val="2"/>
          <w:sz w:val="22"/>
          <w:szCs w:val="22"/>
          <w:highlight w:val="none"/>
          <w:lang w:eastAsia="zh-CN" w:bidi="ar-SA"/>
        </w:rPr>
        <w:t>②中标人要加强用电、明火及燃气的安全管理，做好定期和日常的食堂安全检查，严禁私自乱接乱拉电线、严禁员工在厨房、燃气房内吸烟等不安全行为，对排查出来的安全隐患要及时报告采购方，并负责整改工作。</w:t>
      </w:r>
    </w:p>
    <w:p w14:paraId="6D80C049">
      <w:pPr>
        <w:pStyle w:val="10"/>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textAlignment w:val="auto"/>
        <w:rPr>
          <w:rStyle w:val="57"/>
          <w:rFonts w:hint="eastAsia" w:ascii="宋体" w:hAnsi="宋体" w:eastAsia="宋体" w:cs="宋体"/>
          <w:b w:val="0"/>
          <w:i w:val="0"/>
          <w:caps w:val="0"/>
          <w:spacing w:val="0"/>
          <w:w w:val="100"/>
          <w:kern w:val="2"/>
          <w:sz w:val="22"/>
          <w:szCs w:val="22"/>
          <w:highlight w:val="none"/>
          <w:lang w:eastAsia="zh-CN" w:bidi="ar-SA"/>
        </w:rPr>
      </w:pPr>
      <w:r>
        <w:rPr>
          <w:rStyle w:val="57"/>
          <w:rFonts w:hint="eastAsia" w:ascii="宋体" w:hAnsi="宋体" w:eastAsia="宋体" w:cs="宋体"/>
          <w:b w:val="0"/>
          <w:i w:val="0"/>
          <w:caps w:val="0"/>
          <w:spacing w:val="0"/>
          <w:w w:val="100"/>
          <w:kern w:val="2"/>
          <w:sz w:val="22"/>
          <w:szCs w:val="22"/>
          <w:highlight w:val="none"/>
          <w:lang w:eastAsia="zh-CN" w:bidi="ar-SA"/>
        </w:rPr>
        <w:t>③中标人应随时接受采购人以及卫生、安全等相关政府部门的监督检查，尊重采购人的检查人员，积极配合检查工作，并及时整改存在的问题。</w:t>
      </w:r>
    </w:p>
    <w:p w14:paraId="5FD93074">
      <w:pPr>
        <w:pStyle w:val="10"/>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textAlignment w:val="auto"/>
        <w:rPr>
          <w:rStyle w:val="57"/>
          <w:rFonts w:hint="eastAsia" w:ascii="宋体" w:hAnsi="宋体" w:eastAsia="宋体" w:cs="宋体"/>
          <w:b w:val="0"/>
          <w:i w:val="0"/>
          <w:caps w:val="0"/>
          <w:spacing w:val="0"/>
          <w:w w:val="100"/>
          <w:kern w:val="2"/>
          <w:sz w:val="22"/>
          <w:szCs w:val="22"/>
          <w:highlight w:val="none"/>
          <w:lang w:eastAsia="zh-CN" w:bidi="ar-SA"/>
        </w:rPr>
      </w:pPr>
      <w:r>
        <w:rPr>
          <w:rStyle w:val="57"/>
          <w:rFonts w:hint="eastAsia" w:ascii="宋体" w:hAnsi="宋体" w:eastAsia="宋体" w:cs="宋体"/>
          <w:b w:val="0"/>
          <w:i w:val="0"/>
          <w:caps w:val="0"/>
          <w:spacing w:val="0"/>
          <w:w w:val="100"/>
          <w:kern w:val="2"/>
          <w:sz w:val="22"/>
          <w:szCs w:val="22"/>
          <w:highlight w:val="none"/>
          <w:lang w:eastAsia="zh-CN" w:bidi="ar-SA"/>
        </w:rPr>
        <w:t>④中标人应当定期举行从业人员的安全教育培训工作，增强员工的法制观念，提高员工的安全生产意识和自我保护的能力，督促员工自觉遵守安全制度。</w:t>
      </w:r>
    </w:p>
    <w:p w14:paraId="54FEEA45">
      <w:pPr>
        <w:pStyle w:val="10"/>
        <w:keepNext w:val="0"/>
        <w:keepLines w:val="0"/>
        <w:pageBreakBefore w:val="0"/>
        <w:kinsoku/>
        <w:wordWrap/>
        <w:overflowPunct/>
        <w:topLinePunct w:val="0"/>
        <w:autoSpaceDE/>
        <w:autoSpaceDN/>
        <w:bidi w:val="0"/>
        <w:adjustRightInd/>
        <w:snapToGrid/>
        <w:spacing w:line="360" w:lineRule="auto"/>
        <w:ind w:firstLine="442" w:firstLineChars="200"/>
        <w:rPr>
          <w:rStyle w:val="57"/>
          <w:rFonts w:hint="default" w:ascii="宋体" w:hAnsi="宋体" w:cs="宋体"/>
          <w:b w:val="0"/>
          <w:i w:val="0"/>
          <w:caps w:val="0"/>
          <w:spacing w:val="0"/>
          <w:w w:val="100"/>
          <w:kern w:val="2"/>
          <w:sz w:val="22"/>
          <w:szCs w:val="22"/>
          <w:highlight w:val="none"/>
          <w:lang w:eastAsia="zh-CN" w:bidi="ar-SA"/>
        </w:rPr>
      </w:pPr>
      <w:r>
        <w:rPr>
          <w:rStyle w:val="57"/>
          <w:rFonts w:hint="default" w:ascii="宋体" w:hAnsi="宋体" w:cs="宋体"/>
          <w:b/>
          <w:bCs w:val="0"/>
          <w:i w:val="0"/>
          <w:caps w:val="0"/>
          <w:spacing w:val="0"/>
          <w:w w:val="100"/>
          <w:kern w:val="2"/>
          <w:sz w:val="22"/>
          <w:szCs w:val="22"/>
          <w:highlight w:val="none"/>
          <w:lang w:eastAsia="zh-CN" w:bidi="ar-SA"/>
        </w:rPr>
        <w:t>7</w:t>
      </w:r>
      <w:r>
        <w:rPr>
          <w:rStyle w:val="57"/>
          <w:rFonts w:hint="eastAsia" w:ascii="华文仿宋" w:hAnsi="华文仿宋" w:eastAsia="华文仿宋" w:cs="华文仿宋"/>
          <w:b/>
          <w:bCs w:val="0"/>
          <w:i w:val="0"/>
          <w:caps w:val="0"/>
          <w:spacing w:val="0"/>
          <w:w w:val="100"/>
          <w:kern w:val="2"/>
          <w:sz w:val="22"/>
          <w:szCs w:val="22"/>
          <w:highlight w:val="none"/>
          <w:lang w:eastAsia="zh-CN" w:bidi="ar-SA"/>
        </w:rPr>
        <w:t>★</w:t>
      </w:r>
      <w:r>
        <w:rPr>
          <w:rStyle w:val="57"/>
          <w:rFonts w:hint="default" w:ascii="宋体" w:hAnsi="宋体" w:cs="宋体"/>
          <w:b/>
          <w:bCs w:val="0"/>
          <w:i w:val="0"/>
          <w:caps w:val="0"/>
          <w:spacing w:val="0"/>
          <w:w w:val="100"/>
          <w:kern w:val="2"/>
          <w:sz w:val="22"/>
          <w:szCs w:val="22"/>
          <w:highlight w:val="none"/>
          <w:lang w:eastAsia="zh-CN" w:bidi="ar-SA"/>
        </w:rPr>
        <w:t>开餐要求：</w:t>
      </w:r>
      <w:r>
        <w:rPr>
          <w:rStyle w:val="57"/>
          <w:rFonts w:hint="default" w:ascii="宋体" w:hAnsi="宋体" w:cs="宋体"/>
          <w:b w:val="0"/>
          <w:i w:val="0"/>
          <w:caps w:val="0"/>
          <w:spacing w:val="0"/>
          <w:w w:val="100"/>
          <w:kern w:val="2"/>
          <w:sz w:val="22"/>
          <w:szCs w:val="22"/>
          <w:highlight w:val="none"/>
          <w:lang w:eastAsia="zh-CN" w:bidi="ar-SA"/>
        </w:rPr>
        <w:t>开餐时间要严格按照采购人规定的时间开餐，如因中标人原因未能准时开餐的，超过规定时间20分钟以内给予警告，再次发生同样情形的每次中标人支付违约金1000元；超过规定时间20分钟</w:t>
      </w:r>
      <w:r>
        <w:rPr>
          <w:rStyle w:val="57"/>
          <w:rFonts w:hint="eastAsia" w:ascii="宋体" w:hAnsi="宋体" w:cs="宋体"/>
          <w:b w:val="0"/>
          <w:i w:val="0"/>
          <w:caps w:val="0"/>
          <w:spacing w:val="0"/>
          <w:w w:val="100"/>
          <w:kern w:val="2"/>
          <w:sz w:val="22"/>
          <w:szCs w:val="22"/>
          <w:highlight w:val="none"/>
          <w:lang w:eastAsia="zh-CN" w:bidi="ar-SA"/>
        </w:rPr>
        <w:t>以上不足</w:t>
      </w:r>
      <w:r>
        <w:rPr>
          <w:rStyle w:val="57"/>
          <w:rFonts w:hint="default" w:ascii="宋体" w:hAnsi="宋体" w:cs="宋体"/>
          <w:b w:val="0"/>
          <w:i w:val="0"/>
          <w:caps w:val="0"/>
          <w:spacing w:val="0"/>
          <w:w w:val="100"/>
          <w:kern w:val="2"/>
          <w:sz w:val="22"/>
          <w:szCs w:val="22"/>
          <w:highlight w:val="none"/>
          <w:lang w:eastAsia="zh-CN" w:bidi="ar-SA"/>
        </w:rPr>
        <w:t>30分钟的，每次中标人支付违约金3000元；超过30分钟以上的，采购人有权就中标人提供的履约银行保函主张索赔且解除合同。</w:t>
      </w:r>
    </w:p>
    <w:p w14:paraId="42969D71">
      <w:pPr>
        <w:pStyle w:val="10"/>
        <w:keepNext w:val="0"/>
        <w:keepLines w:val="0"/>
        <w:pageBreakBefore w:val="0"/>
        <w:kinsoku/>
        <w:wordWrap/>
        <w:overflowPunct/>
        <w:topLinePunct w:val="0"/>
        <w:autoSpaceDE/>
        <w:autoSpaceDN/>
        <w:bidi w:val="0"/>
        <w:adjustRightInd/>
        <w:snapToGrid/>
        <w:spacing w:line="360" w:lineRule="auto"/>
        <w:ind w:firstLine="440" w:firstLineChars="200"/>
        <w:rPr>
          <w:rStyle w:val="57"/>
          <w:rFonts w:hint="eastAsia" w:ascii="宋体" w:hAnsi="宋体" w:eastAsia="宋体" w:cs="宋体"/>
          <w:b w:val="0"/>
          <w:i w:val="0"/>
          <w:caps w:val="0"/>
          <w:spacing w:val="0"/>
          <w:w w:val="100"/>
          <w:kern w:val="2"/>
          <w:sz w:val="22"/>
          <w:szCs w:val="22"/>
          <w:highlight w:val="none"/>
          <w:lang w:eastAsia="zh-CN" w:bidi="ar-SA"/>
        </w:rPr>
      </w:pPr>
      <w:r>
        <w:rPr>
          <w:rStyle w:val="57"/>
          <w:rFonts w:hint="default" w:ascii="宋体" w:hAnsi="宋体" w:cs="宋体"/>
          <w:b w:val="0"/>
          <w:i w:val="0"/>
          <w:caps w:val="0"/>
          <w:spacing w:val="0"/>
          <w:w w:val="100"/>
          <w:kern w:val="2"/>
          <w:sz w:val="22"/>
          <w:szCs w:val="22"/>
          <w:highlight w:val="none"/>
          <w:lang w:eastAsia="zh-CN" w:bidi="ar-SA"/>
        </w:rPr>
        <w:t>8</w:t>
      </w:r>
      <w:r>
        <w:rPr>
          <w:rStyle w:val="57"/>
          <w:rFonts w:hint="eastAsia" w:ascii="宋体" w:hAnsi="宋体" w:eastAsia="宋体" w:cs="宋体"/>
          <w:b w:val="0"/>
          <w:i w:val="0"/>
          <w:caps w:val="0"/>
          <w:spacing w:val="0"/>
          <w:w w:val="100"/>
          <w:kern w:val="2"/>
          <w:sz w:val="22"/>
          <w:szCs w:val="22"/>
          <w:highlight w:val="none"/>
          <w:lang w:eastAsia="zh-CN" w:bidi="ar-SA"/>
        </w:rPr>
        <w:t>.其他事项</w:t>
      </w:r>
    </w:p>
    <w:p w14:paraId="59C06B80">
      <w:pPr>
        <w:pStyle w:val="10"/>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2" w:firstLineChars="200"/>
        <w:textAlignment w:val="auto"/>
        <w:rPr>
          <w:rStyle w:val="57"/>
          <w:rFonts w:hint="eastAsia" w:ascii="宋体" w:hAnsi="宋体" w:eastAsia="宋体" w:cs="宋体"/>
          <w:b/>
          <w:bCs w:val="0"/>
          <w:i w:val="0"/>
          <w:caps w:val="0"/>
          <w:spacing w:val="0"/>
          <w:w w:val="100"/>
          <w:kern w:val="2"/>
          <w:sz w:val="22"/>
          <w:szCs w:val="22"/>
          <w:highlight w:val="none"/>
          <w:lang w:eastAsia="zh-CN" w:bidi="ar-SA"/>
        </w:rPr>
      </w:pPr>
      <w:r>
        <w:rPr>
          <w:rStyle w:val="57"/>
          <w:rFonts w:hint="eastAsia" w:ascii="宋体" w:hAnsi="宋体" w:eastAsia="宋体" w:cs="宋体"/>
          <w:b/>
          <w:bCs w:val="0"/>
          <w:i w:val="0"/>
          <w:caps w:val="0"/>
          <w:spacing w:val="0"/>
          <w:w w:val="100"/>
          <w:kern w:val="2"/>
          <w:sz w:val="22"/>
          <w:szCs w:val="22"/>
          <w:highlight w:val="none"/>
          <w:lang w:eastAsia="zh-CN" w:bidi="ar-SA"/>
        </w:rPr>
        <w:t>①</w:t>
      </w:r>
      <w:r>
        <w:rPr>
          <w:rStyle w:val="57"/>
          <w:rFonts w:hint="eastAsia" w:ascii="华文仿宋" w:hAnsi="华文仿宋" w:eastAsia="华文仿宋" w:cs="华文仿宋"/>
          <w:b/>
          <w:bCs w:val="0"/>
          <w:i w:val="0"/>
          <w:caps w:val="0"/>
          <w:spacing w:val="0"/>
          <w:w w:val="100"/>
          <w:kern w:val="2"/>
          <w:sz w:val="22"/>
          <w:szCs w:val="22"/>
          <w:highlight w:val="none"/>
          <w:lang w:eastAsia="zh-CN" w:bidi="ar-SA"/>
        </w:rPr>
        <w:t>★</w:t>
      </w:r>
      <w:r>
        <w:rPr>
          <w:rStyle w:val="57"/>
          <w:rFonts w:hint="default" w:ascii="宋体" w:hAnsi="宋体" w:cs="宋体"/>
          <w:b/>
          <w:bCs w:val="0"/>
          <w:i w:val="0"/>
          <w:caps w:val="0"/>
          <w:spacing w:val="0"/>
          <w:w w:val="100"/>
          <w:kern w:val="2"/>
          <w:sz w:val="22"/>
          <w:szCs w:val="22"/>
          <w:highlight w:val="none"/>
          <w:lang w:eastAsia="zh-CN" w:bidi="ar-SA"/>
        </w:rPr>
        <w:t>中标人</w:t>
      </w:r>
      <w:r>
        <w:rPr>
          <w:rStyle w:val="57"/>
          <w:rFonts w:hint="eastAsia" w:ascii="宋体" w:hAnsi="宋体" w:eastAsia="宋体" w:cs="宋体"/>
          <w:b/>
          <w:bCs w:val="0"/>
          <w:i w:val="0"/>
          <w:caps w:val="0"/>
          <w:spacing w:val="0"/>
          <w:w w:val="100"/>
          <w:kern w:val="2"/>
          <w:sz w:val="22"/>
          <w:szCs w:val="22"/>
          <w:highlight w:val="none"/>
          <w:lang w:eastAsia="zh-CN" w:bidi="ar-SA"/>
        </w:rPr>
        <w:t>不得将项目分包或转包给任何单位和个人。否则，</w:t>
      </w:r>
      <w:r>
        <w:rPr>
          <w:rStyle w:val="57"/>
          <w:rFonts w:hint="default" w:ascii="宋体" w:hAnsi="宋体" w:cs="宋体"/>
          <w:b/>
          <w:bCs w:val="0"/>
          <w:i w:val="0"/>
          <w:caps w:val="0"/>
          <w:spacing w:val="0"/>
          <w:w w:val="100"/>
          <w:kern w:val="2"/>
          <w:sz w:val="22"/>
          <w:szCs w:val="22"/>
          <w:highlight w:val="none"/>
          <w:lang w:eastAsia="zh-CN" w:bidi="ar-SA"/>
        </w:rPr>
        <w:t>采购人</w:t>
      </w:r>
      <w:r>
        <w:rPr>
          <w:rStyle w:val="57"/>
          <w:rFonts w:hint="eastAsia" w:ascii="宋体" w:hAnsi="宋体" w:eastAsia="宋体" w:cs="宋体"/>
          <w:b/>
          <w:bCs w:val="0"/>
          <w:i w:val="0"/>
          <w:caps w:val="0"/>
          <w:spacing w:val="0"/>
          <w:w w:val="100"/>
          <w:kern w:val="2"/>
          <w:sz w:val="22"/>
          <w:szCs w:val="22"/>
          <w:highlight w:val="none"/>
          <w:lang w:eastAsia="zh-CN" w:bidi="ar-SA"/>
        </w:rPr>
        <w:t>有权即刻依法终止合同，并要求</w:t>
      </w:r>
      <w:r>
        <w:rPr>
          <w:rStyle w:val="57"/>
          <w:rFonts w:hint="default" w:ascii="宋体" w:hAnsi="宋体" w:cs="宋体"/>
          <w:b/>
          <w:bCs w:val="0"/>
          <w:i w:val="0"/>
          <w:caps w:val="0"/>
          <w:spacing w:val="0"/>
          <w:w w:val="100"/>
          <w:kern w:val="2"/>
          <w:sz w:val="22"/>
          <w:szCs w:val="22"/>
          <w:highlight w:val="none"/>
          <w:lang w:eastAsia="zh-CN" w:bidi="ar-SA"/>
        </w:rPr>
        <w:t>中标人</w:t>
      </w:r>
      <w:r>
        <w:rPr>
          <w:rStyle w:val="57"/>
          <w:rFonts w:hint="eastAsia" w:ascii="宋体" w:hAnsi="宋体" w:eastAsia="宋体" w:cs="宋体"/>
          <w:b/>
          <w:bCs w:val="0"/>
          <w:i w:val="0"/>
          <w:caps w:val="0"/>
          <w:spacing w:val="0"/>
          <w:w w:val="100"/>
          <w:kern w:val="2"/>
          <w:sz w:val="22"/>
          <w:szCs w:val="22"/>
          <w:highlight w:val="none"/>
          <w:lang w:eastAsia="zh-CN" w:bidi="ar-SA"/>
        </w:rPr>
        <w:t>赔偿相应损失。</w:t>
      </w:r>
    </w:p>
    <w:p w14:paraId="42553907">
      <w:pPr>
        <w:pStyle w:val="10"/>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textAlignment w:val="auto"/>
        <w:rPr>
          <w:rStyle w:val="57"/>
          <w:rFonts w:hint="eastAsia" w:ascii="宋体" w:hAnsi="宋体" w:eastAsia="宋体" w:cs="宋体"/>
          <w:b w:val="0"/>
          <w:i w:val="0"/>
          <w:caps w:val="0"/>
          <w:spacing w:val="0"/>
          <w:w w:val="100"/>
          <w:kern w:val="2"/>
          <w:sz w:val="22"/>
          <w:szCs w:val="22"/>
          <w:highlight w:val="none"/>
          <w:lang w:eastAsia="zh-CN" w:bidi="ar-SA"/>
        </w:rPr>
      </w:pPr>
      <w:r>
        <w:rPr>
          <w:rStyle w:val="57"/>
          <w:rFonts w:hint="eastAsia" w:ascii="宋体" w:hAnsi="宋体" w:eastAsia="宋体" w:cs="宋体"/>
          <w:b w:val="0"/>
          <w:i w:val="0"/>
          <w:caps w:val="0"/>
          <w:spacing w:val="0"/>
          <w:w w:val="100"/>
          <w:kern w:val="2"/>
          <w:sz w:val="22"/>
          <w:szCs w:val="22"/>
          <w:highlight w:val="none"/>
          <w:lang w:eastAsia="zh-CN" w:bidi="ar-SA"/>
        </w:rPr>
        <w:t>②</w:t>
      </w:r>
      <w:r>
        <w:rPr>
          <w:rStyle w:val="57"/>
          <w:rFonts w:hint="default" w:ascii="宋体" w:hAnsi="宋体" w:cs="宋体"/>
          <w:b w:val="0"/>
          <w:i w:val="0"/>
          <w:caps w:val="0"/>
          <w:spacing w:val="0"/>
          <w:w w:val="100"/>
          <w:kern w:val="2"/>
          <w:sz w:val="22"/>
          <w:szCs w:val="22"/>
          <w:highlight w:val="none"/>
          <w:lang w:eastAsia="zh-CN" w:bidi="ar-SA"/>
        </w:rPr>
        <w:t>中标人</w:t>
      </w:r>
      <w:r>
        <w:rPr>
          <w:rStyle w:val="57"/>
          <w:rFonts w:hint="eastAsia" w:ascii="宋体" w:hAnsi="宋体" w:eastAsia="宋体" w:cs="宋体"/>
          <w:b w:val="0"/>
          <w:i w:val="0"/>
          <w:caps w:val="0"/>
          <w:spacing w:val="0"/>
          <w:w w:val="100"/>
          <w:kern w:val="2"/>
          <w:sz w:val="22"/>
          <w:szCs w:val="22"/>
          <w:highlight w:val="none"/>
          <w:lang w:eastAsia="zh-CN" w:bidi="ar-SA"/>
        </w:rPr>
        <w:t>所有的工作人员必须具备正确进行食物制作的知识和</w:t>
      </w:r>
      <w:r>
        <w:rPr>
          <w:rStyle w:val="57"/>
          <w:rFonts w:hint="eastAsia" w:ascii="宋体" w:hAnsi="宋体" w:cs="宋体"/>
          <w:b w:val="0"/>
          <w:i w:val="0"/>
          <w:caps w:val="0"/>
          <w:spacing w:val="0"/>
          <w:w w:val="100"/>
          <w:kern w:val="2"/>
          <w:sz w:val="22"/>
          <w:szCs w:val="22"/>
          <w:highlight w:val="none"/>
          <w:lang w:eastAsia="zh-CN" w:bidi="ar-SA"/>
        </w:rPr>
        <w:t>常见</w:t>
      </w:r>
      <w:r>
        <w:rPr>
          <w:rStyle w:val="57"/>
          <w:rFonts w:hint="eastAsia" w:ascii="宋体" w:hAnsi="宋体" w:eastAsia="宋体" w:cs="宋体"/>
          <w:b w:val="0"/>
          <w:i w:val="0"/>
          <w:caps w:val="0"/>
          <w:spacing w:val="0"/>
          <w:w w:val="100"/>
          <w:kern w:val="2"/>
          <w:sz w:val="22"/>
          <w:szCs w:val="22"/>
          <w:highlight w:val="none"/>
          <w:lang w:eastAsia="zh-CN" w:bidi="ar-SA"/>
        </w:rPr>
        <w:t>食物中毒的救治知识，万一发生食物中毒，及时</w:t>
      </w:r>
      <w:r>
        <w:rPr>
          <w:rStyle w:val="57"/>
          <w:rFonts w:hint="eastAsia" w:ascii="宋体" w:hAnsi="宋体" w:cs="宋体"/>
          <w:b w:val="0"/>
          <w:i w:val="0"/>
          <w:caps w:val="0"/>
          <w:spacing w:val="0"/>
          <w:w w:val="100"/>
          <w:kern w:val="2"/>
          <w:sz w:val="22"/>
          <w:szCs w:val="22"/>
          <w:highlight w:val="none"/>
          <w:lang w:eastAsia="zh-CN" w:bidi="ar-SA"/>
        </w:rPr>
        <w:t>采取现场急救措施</w:t>
      </w:r>
      <w:r>
        <w:rPr>
          <w:rStyle w:val="57"/>
          <w:rFonts w:hint="eastAsia" w:ascii="宋体" w:hAnsi="宋体" w:eastAsia="宋体" w:cs="宋体"/>
          <w:b w:val="0"/>
          <w:i w:val="0"/>
          <w:caps w:val="0"/>
          <w:spacing w:val="0"/>
          <w:w w:val="100"/>
          <w:kern w:val="2"/>
          <w:sz w:val="22"/>
          <w:szCs w:val="22"/>
          <w:highlight w:val="none"/>
          <w:lang w:eastAsia="zh-CN" w:bidi="ar-SA"/>
        </w:rPr>
        <w:t>，</w:t>
      </w:r>
      <w:r>
        <w:rPr>
          <w:rStyle w:val="57"/>
          <w:rFonts w:hint="eastAsia" w:ascii="宋体" w:hAnsi="宋体" w:cs="宋体"/>
          <w:b w:val="0"/>
          <w:i w:val="0"/>
          <w:caps w:val="0"/>
          <w:spacing w:val="0"/>
          <w:w w:val="100"/>
          <w:kern w:val="2"/>
          <w:sz w:val="22"/>
          <w:szCs w:val="22"/>
          <w:highlight w:val="none"/>
          <w:lang w:eastAsia="zh-CN" w:bidi="ar-SA"/>
        </w:rPr>
        <w:t>同步</w:t>
      </w:r>
      <w:r>
        <w:rPr>
          <w:rStyle w:val="57"/>
          <w:rFonts w:hint="eastAsia" w:ascii="宋体" w:hAnsi="宋体" w:eastAsia="宋体" w:cs="宋体"/>
          <w:b w:val="0"/>
          <w:i w:val="0"/>
          <w:caps w:val="0"/>
          <w:spacing w:val="0"/>
          <w:w w:val="100"/>
          <w:kern w:val="2"/>
          <w:sz w:val="22"/>
          <w:szCs w:val="22"/>
          <w:highlight w:val="none"/>
          <w:lang w:eastAsia="zh-CN" w:bidi="ar-SA"/>
        </w:rPr>
        <w:t>联系医院</w:t>
      </w:r>
      <w:r>
        <w:rPr>
          <w:rStyle w:val="57"/>
          <w:rFonts w:hint="eastAsia" w:ascii="宋体" w:hAnsi="宋体" w:cs="宋体"/>
          <w:b w:val="0"/>
          <w:i w:val="0"/>
          <w:caps w:val="0"/>
          <w:spacing w:val="0"/>
          <w:w w:val="100"/>
          <w:kern w:val="2"/>
          <w:sz w:val="22"/>
          <w:szCs w:val="22"/>
          <w:highlight w:val="none"/>
          <w:lang w:eastAsia="zh-CN" w:bidi="ar-SA"/>
        </w:rPr>
        <w:t>救治</w:t>
      </w:r>
      <w:r>
        <w:rPr>
          <w:rStyle w:val="57"/>
          <w:rFonts w:hint="eastAsia" w:ascii="宋体" w:hAnsi="宋体" w:eastAsia="宋体" w:cs="宋体"/>
          <w:b w:val="0"/>
          <w:i w:val="0"/>
          <w:caps w:val="0"/>
          <w:spacing w:val="0"/>
          <w:w w:val="100"/>
          <w:kern w:val="2"/>
          <w:sz w:val="22"/>
          <w:szCs w:val="22"/>
          <w:highlight w:val="none"/>
          <w:lang w:eastAsia="zh-CN" w:bidi="ar-SA"/>
        </w:rPr>
        <w:t>，</w:t>
      </w:r>
      <w:r>
        <w:rPr>
          <w:rStyle w:val="57"/>
          <w:rFonts w:hint="eastAsia" w:ascii="宋体" w:hAnsi="宋体" w:cs="宋体"/>
          <w:b w:val="0"/>
          <w:i w:val="0"/>
          <w:caps w:val="0"/>
          <w:spacing w:val="0"/>
          <w:w w:val="100"/>
          <w:kern w:val="2"/>
          <w:sz w:val="22"/>
          <w:szCs w:val="22"/>
          <w:highlight w:val="none"/>
          <w:lang w:eastAsia="zh-CN" w:bidi="ar-SA"/>
        </w:rPr>
        <w:t>并</w:t>
      </w:r>
      <w:r>
        <w:rPr>
          <w:rStyle w:val="57"/>
          <w:rFonts w:hint="eastAsia" w:ascii="宋体" w:hAnsi="宋体" w:eastAsia="宋体" w:cs="宋体"/>
          <w:b w:val="0"/>
          <w:i w:val="0"/>
          <w:caps w:val="0"/>
          <w:spacing w:val="0"/>
          <w:w w:val="100"/>
          <w:kern w:val="2"/>
          <w:sz w:val="22"/>
          <w:szCs w:val="22"/>
          <w:highlight w:val="none"/>
          <w:lang w:eastAsia="zh-CN" w:bidi="ar-SA"/>
        </w:rPr>
        <w:t>报告</w:t>
      </w:r>
      <w:r>
        <w:rPr>
          <w:rStyle w:val="57"/>
          <w:rFonts w:hint="default" w:ascii="宋体" w:hAnsi="宋体" w:cs="宋体"/>
          <w:b w:val="0"/>
          <w:i w:val="0"/>
          <w:caps w:val="0"/>
          <w:spacing w:val="0"/>
          <w:w w:val="100"/>
          <w:kern w:val="2"/>
          <w:sz w:val="22"/>
          <w:szCs w:val="22"/>
          <w:highlight w:val="none"/>
          <w:lang w:eastAsia="zh-CN" w:bidi="ar-SA"/>
        </w:rPr>
        <w:t>采购人</w:t>
      </w:r>
      <w:r>
        <w:rPr>
          <w:rStyle w:val="57"/>
          <w:rFonts w:hint="eastAsia" w:ascii="宋体" w:hAnsi="宋体" w:eastAsia="宋体" w:cs="宋体"/>
          <w:b w:val="0"/>
          <w:i w:val="0"/>
          <w:caps w:val="0"/>
          <w:spacing w:val="0"/>
          <w:w w:val="100"/>
          <w:kern w:val="2"/>
          <w:sz w:val="22"/>
          <w:szCs w:val="22"/>
          <w:highlight w:val="none"/>
          <w:lang w:eastAsia="zh-CN" w:bidi="ar-SA"/>
        </w:rPr>
        <w:t>；服务期间因</w:t>
      </w:r>
      <w:r>
        <w:rPr>
          <w:rStyle w:val="57"/>
          <w:rFonts w:hint="default" w:ascii="宋体" w:hAnsi="宋体" w:cs="宋体"/>
          <w:b w:val="0"/>
          <w:i w:val="0"/>
          <w:caps w:val="0"/>
          <w:spacing w:val="0"/>
          <w:w w:val="100"/>
          <w:kern w:val="2"/>
          <w:sz w:val="22"/>
          <w:szCs w:val="22"/>
          <w:highlight w:val="none"/>
          <w:lang w:eastAsia="zh-CN" w:bidi="ar-SA"/>
        </w:rPr>
        <w:t>中标人</w:t>
      </w:r>
      <w:r>
        <w:rPr>
          <w:rStyle w:val="57"/>
          <w:rFonts w:hint="eastAsia" w:ascii="宋体" w:hAnsi="宋体" w:eastAsia="宋体" w:cs="宋体"/>
          <w:b w:val="0"/>
          <w:i w:val="0"/>
          <w:caps w:val="0"/>
          <w:spacing w:val="0"/>
          <w:w w:val="100"/>
          <w:kern w:val="2"/>
          <w:sz w:val="22"/>
          <w:szCs w:val="22"/>
          <w:highlight w:val="none"/>
          <w:lang w:eastAsia="zh-CN" w:bidi="ar-SA"/>
        </w:rPr>
        <w:t>管理不善或工作程序不当等责任原因，引起卫生、</w:t>
      </w:r>
      <w:r>
        <w:rPr>
          <w:rStyle w:val="57"/>
          <w:rFonts w:hint="default" w:ascii="宋体" w:hAnsi="宋体" w:cs="宋体"/>
          <w:b w:val="0"/>
          <w:i w:val="0"/>
          <w:caps w:val="0"/>
          <w:spacing w:val="0"/>
          <w:w w:val="100"/>
          <w:kern w:val="2"/>
          <w:sz w:val="22"/>
          <w:szCs w:val="22"/>
          <w:highlight w:val="none"/>
          <w:lang w:eastAsia="zh-CN" w:bidi="ar-SA"/>
        </w:rPr>
        <w:t>食品</w:t>
      </w:r>
      <w:r>
        <w:rPr>
          <w:rStyle w:val="57"/>
          <w:rFonts w:hint="eastAsia" w:ascii="宋体" w:hAnsi="宋体" w:eastAsia="宋体" w:cs="宋体"/>
          <w:b w:val="0"/>
          <w:i w:val="0"/>
          <w:caps w:val="0"/>
          <w:spacing w:val="0"/>
          <w:w w:val="100"/>
          <w:kern w:val="2"/>
          <w:sz w:val="22"/>
          <w:szCs w:val="22"/>
          <w:highlight w:val="none"/>
          <w:lang w:eastAsia="zh-CN" w:bidi="ar-SA"/>
        </w:rPr>
        <w:t>安全事故等，造成人员伤害或财产损失的，</w:t>
      </w:r>
      <w:r>
        <w:rPr>
          <w:rStyle w:val="57"/>
          <w:rFonts w:hint="default" w:ascii="宋体" w:hAnsi="宋体" w:cs="宋体"/>
          <w:b w:val="0"/>
          <w:i w:val="0"/>
          <w:caps w:val="0"/>
          <w:spacing w:val="0"/>
          <w:w w:val="100"/>
          <w:kern w:val="2"/>
          <w:sz w:val="22"/>
          <w:szCs w:val="22"/>
          <w:highlight w:val="none"/>
          <w:lang w:eastAsia="zh-CN" w:bidi="ar-SA"/>
        </w:rPr>
        <w:t>采购人</w:t>
      </w:r>
      <w:r>
        <w:rPr>
          <w:rStyle w:val="57"/>
          <w:rFonts w:hint="eastAsia" w:ascii="宋体" w:hAnsi="宋体" w:eastAsia="宋体" w:cs="宋体"/>
          <w:b w:val="0"/>
          <w:i w:val="0"/>
          <w:caps w:val="0"/>
          <w:spacing w:val="0"/>
          <w:w w:val="100"/>
          <w:kern w:val="2"/>
          <w:sz w:val="22"/>
          <w:szCs w:val="22"/>
          <w:highlight w:val="none"/>
          <w:lang w:eastAsia="zh-CN" w:bidi="ar-SA"/>
        </w:rPr>
        <w:t>有权就中标人提供的履约银行保函主张索赔并直接解除合同。</w:t>
      </w:r>
    </w:p>
    <w:p w14:paraId="10AA2634">
      <w:pPr>
        <w:keepNext w:val="0"/>
        <w:keepLines w:val="0"/>
        <w:pageBreakBefore w:val="0"/>
        <w:widowControl w:val="0"/>
        <w:numPr>
          <w:ilvl w:val="255"/>
          <w:numId w:val="0"/>
        </w:numPr>
        <w:kinsoku/>
        <w:wordWrap/>
        <w:overflowPunct/>
        <w:topLinePunct w:val="0"/>
        <w:autoSpaceDE/>
        <w:autoSpaceDN/>
        <w:bidi w:val="0"/>
        <w:adjustRightInd/>
        <w:snapToGrid/>
        <w:spacing w:line="360" w:lineRule="auto"/>
        <w:ind w:firstLine="440" w:firstLineChars="200"/>
        <w:textAlignment w:val="auto"/>
        <w:rPr>
          <w:rStyle w:val="57"/>
          <w:rFonts w:hint="eastAsia" w:ascii="宋体" w:hAnsi="宋体" w:eastAsia="宋体" w:cs="宋体"/>
          <w:b w:val="0"/>
          <w:i w:val="0"/>
          <w:caps w:val="0"/>
          <w:spacing w:val="0"/>
          <w:w w:val="100"/>
          <w:kern w:val="2"/>
          <w:sz w:val="22"/>
          <w:szCs w:val="22"/>
          <w:highlight w:val="none"/>
          <w:lang w:eastAsia="zh-CN" w:bidi="ar-SA"/>
        </w:rPr>
      </w:pPr>
      <w:r>
        <w:rPr>
          <w:rStyle w:val="57"/>
          <w:rFonts w:hint="eastAsia" w:ascii="宋体" w:hAnsi="宋体" w:eastAsia="宋体" w:cs="宋体"/>
          <w:b w:val="0"/>
          <w:i w:val="0"/>
          <w:caps w:val="0"/>
          <w:spacing w:val="0"/>
          <w:w w:val="100"/>
          <w:kern w:val="2"/>
          <w:sz w:val="22"/>
          <w:szCs w:val="22"/>
          <w:highlight w:val="none"/>
          <w:lang w:eastAsia="zh-CN" w:bidi="ar-SA"/>
        </w:rPr>
        <w:t>③本项目依据《中华人民共和国食品安全法》，参考《餐饮服务食品安全操作规范》《食品安全国家标准餐饮服务通用卫生规范》等行业规范执行。</w:t>
      </w:r>
    </w:p>
    <w:p w14:paraId="5A55DFEE">
      <w:pPr>
        <w:pStyle w:val="10"/>
        <w:rPr>
          <w:highlight w:val="none"/>
        </w:rPr>
      </w:pPr>
    </w:p>
    <w:p w14:paraId="69F2D484">
      <w:pPr>
        <w:pStyle w:val="3"/>
        <w:numPr>
          <w:ilvl w:val="0"/>
          <w:numId w:val="7"/>
        </w:numPr>
        <w:adjustRightInd/>
        <w:textAlignment w:val="auto"/>
        <w:rPr>
          <w:rFonts w:cs="宋体"/>
          <w:color w:val="000000" w:themeColor="text1"/>
          <w:szCs w:val="30"/>
          <w:highlight w:val="none"/>
          <w14:textFill>
            <w14:solidFill>
              <w14:schemeClr w14:val="tx1"/>
            </w14:solidFill>
          </w14:textFill>
        </w:rPr>
      </w:pPr>
      <w:r>
        <w:rPr>
          <w:rFonts w:hint="eastAsia" w:cs="宋体"/>
          <w:color w:val="000000" w:themeColor="text1"/>
          <w:szCs w:val="30"/>
          <w:highlight w:val="none"/>
          <w14:textFill>
            <w14:solidFill>
              <w14:schemeClr w14:val="tx1"/>
            </w14:solidFill>
          </w14:textFill>
        </w:rPr>
        <w:t>项目商务要求</w:t>
      </w:r>
    </w:p>
    <w:p w14:paraId="3C5FAF92">
      <w:pPr>
        <w:ind w:firstLine="422" w:firstLineChars="200"/>
        <w:rPr>
          <w:rFonts w:hint="eastAsia"/>
          <w:b/>
          <w:szCs w:val="21"/>
          <w:highlight w:val="none"/>
        </w:rPr>
      </w:pPr>
      <w:r>
        <w:rPr>
          <w:rFonts w:hint="eastAsia"/>
          <w:b/>
          <w:szCs w:val="21"/>
          <w:highlight w:val="none"/>
        </w:rPr>
        <w:t>说明：带“</w:t>
      </w:r>
      <w:r>
        <w:rPr>
          <w:rFonts w:hint="eastAsia" w:ascii="宋体" w:hAnsi="宋体" w:cs="宋体"/>
          <w:b/>
          <w:szCs w:val="21"/>
          <w:highlight w:val="none"/>
        </w:rPr>
        <w:t>★</w:t>
      </w:r>
      <w:r>
        <w:rPr>
          <w:rFonts w:hint="eastAsia"/>
          <w:b/>
          <w:szCs w:val="21"/>
          <w:highlight w:val="none"/>
        </w:rPr>
        <w:t>”指标项为实质性条款，如出现负偏离，将被视为未实质性满足招标文件要求作投标无效处理。</w:t>
      </w:r>
    </w:p>
    <w:p w14:paraId="4BF247CF">
      <w:pPr>
        <w:pStyle w:val="10"/>
        <w:rPr>
          <w:rFonts w:hint="eastAsia"/>
        </w:rPr>
      </w:pPr>
    </w:p>
    <w:p w14:paraId="0B68A19E">
      <w:pPr>
        <w:pStyle w:val="10"/>
        <w:keepNext w:val="0"/>
        <w:keepLines w:val="0"/>
        <w:pageBreakBefore w:val="0"/>
        <w:kinsoku/>
        <w:wordWrap/>
        <w:overflowPunct/>
        <w:topLinePunct w:val="0"/>
        <w:autoSpaceDE/>
        <w:autoSpaceDN/>
        <w:bidi w:val="0"/>
        <w:adjustRightInd/>
        <w:snapToGrid/>
        <w:spacing w:line="360" w:lineRule="auto"/>
        <w:ind w:firstLine="440" w:firstLineChars="200"/>
        <w:rPr>
          <w:rStyle w:val="57"/>
          <w:rFonts w:hint="eastAsia" w:ascii="宋体" w:hAnsi="宋体" w:eastAsia="宋体" w:cs="宋体"/>
          <w:b w:val="0"/>
          <w:i w:val="0"/>
          <w:caps w:val="0"/>
          <w:spacing w:val="0"/>
          <w:w w:val="100"/>
          <w:kern w:val="2"/>
          <w:sz w:val="22"/>
          <w:szCs w:val="22"/>
          <w:highlight w:val="none"/>
          <w:lang w:eastAsia="zh-CN" w:bidi="ar-SA"/>
        </w:rPr>
      </w:pPr>
      <w:r>
        <w:rPr>
          <w:rStyle w:val="57"/>
          <w:rFonts w:hint="eastAsia" w:ascii="宋体" w:hAnsi="宋体" w:eastAsia="宋体" w:cs="宋体"/>
          <w:b w:val="0"/>
          <w:i w:val="0"/>
          <w:caps w:val="0"/>
          <w:spacing w:val="0"/>
          <w:w w:val="100"/>
          <w:kern w:val="2"/>
          <w:sz w:val="22"/>
          <w:szCs w:val="22"/>
          <w:highlight w:val="none"/>
          <w:lang w:eastAsia="zh-CN" w:bidi="ar-SA"/>
        </w:rPr>
        <w:t>1.</w:t>
      </w:r>
      <w:r>
        <w:rPr>
          <w:rStyle w:val="57"/>
          <w:rFonts w:hint="eastAsia" w:ascii="宋体" w:hAnsi="宋体" w:cs="宋体"/>
          <w:b w:val="0"/>
          <w:i w:val="0"/>
          <w:caps w:val="0"/>
          <w:spacing w:val="0"/>
          <w:w w:val="100"/>
          <w:kern w:val="2"/>
          <w:sz w:val="22"/>
          <w:szCs w:val="22"/>
          <w:highlight w:val="none"/>
          <w:lang w:eastAsia="zh-CN" w:bidi="ar-SA"/>
        </w:rPr>
        <w:t>服务</w:t>
      </w:r>
      <w:r>
        <w:rPr>
          <w:rStyle w:val="57"/>
          <w:rFonts w:hint="eastAsia" w:ascii="宋体" w:hAnsi="宋体" w:eastAsia="宋体" w:cs="宋体"/>
          <w:b w:val="0"/>
          <w:i w:val="0"/>
          <w:caps w:val="0"/>
          <w:spacing w:val="0"/>
          <w:w w:val="100"/>
          <w:kern w:val="2"/>
          <w:sz w:val="22"/>
          <w:szCs w:val="22"/>
          <w:highlight w:val="none"/>
          <w:lang w:eastAsia="zh-CN" w:bidi="ar-SA"/>
        </w:rPr>
        <w:t>期限：1年。若</w:t>
      </w:r>
      <w:r>
        <w:rPr>
          <w:rStyle w:val="57"/>
          <w:rFonts w:hint="default" w:ascii="宋体" w:hAnsi="宋体" w:cs="宋体"/>
          <w:b w:val="0"/>
          <w:i w:val="0"/>
          <w:caps w:val="0"/>
          <w:spacing w:val="0"/>
          <w:w w:val="100"/>
          <w:kern w:val="2"/>
          <w:sz w:val="22"/>
          <w:szCs w:val="22"/>
          <w:highlight w:val="none"/>
          <w:lang w:eastAsia="zh-CN" w:bidi="ar-SA"/>
        </w:rPr>
        <w:t>中标人</w:t>
      </w:r>
      <w:r>
        <w:rPr>
          <w:rStyle w:val="57"/>
          <w:rFonts w:hint="eastAsia" w:ascii="宋体" w:hAnsi="宋体" w:eastAsia="宋体" w:cs="宋体"/>
          <w:b w:val="0"/>
          <w:i w:val="0"/>
          <w:caps w:val="0"/>
          <w:spacing w:val="0"/>
          <w:w w:val="100"/>
          <w:kern w:val="2"/>
          <w:sz w:val="22"/>
          <w:szCs w:val="22"/>
          <w:highlight w:val="none"/>
          <w:lang w:eastAsia="zh-CN" w:bidi="ar-SA"/>
        </w:rPr>
        <w:t>提供的服务和饭菜质量能达到采购人的要求，服务期满后，经过对本年履约评价为良以上的，在预算不变的情况下，经采购人同意可续签下一年合同，续签最多不超过2次。</w:t>
      </w:r>
    </w:p>
    <w:p w14:paraId="3DE942A2">
      <w:pPr>
        <w:pStyle w:val="10"/>
        <w:keepNext w:val="0"/>
        <w:keepLines w:val="0"/>
        <w:pageBreakBefore w:val="0"/>
        <w:kinsoku/>
        <w:wordWrap/>
        <w:overflowPunct/>
        <w:topLinePunct w:val="0"/>
        <w:autoSpaceDE/>
        <w:autoSpaceDN/>
        <w:bidi w:val="0"/>
        <w:adjustRightInd/>
        <w:snapToGrid/>
        <w:spacing w:line="360" w:lineRule="auto"/>
        <w:ind w:firstLine="440" w:firstLineChars="200"/>
        <w:rPr>
          <w:rStyle w:val="57"/>
          <w:rFonts w:hint="default" w:ascii="宋体" w:hAnsi="宋体" w:eastAsia="宋体" w:cs="宋体"/>
          <w:b w:val="0"/>
          <w:i w:val="0"/>
          <w:caps w:val="0"/>
          <w:spacing w:val="0"/>
          <w:w w:val="100"/>
          <w:kern w:val="2"/>
          <w:sz w:val="22"/>
          <w:szCs w:val="22"/>
          <w:highlight w:val="none"/>
          <w:lang w:eastAsia="zh-CN" w:bidi="ar-SA"/>
        </w:rPr>
      </w:pPr>
      <w:r>
        <w:rPr>
          <w:rStyle w:val="57"/>
          <w:rFonts w:hint="eastAsia" w:ascii="宋体" w:hAnsi="宋体" w:eastAsia="宋体" w:cs="宋体"/>
          <w:b w:val="0"/>
          <w:i w:val="0"/>
          <w:caps w:val="0"/>
          <w:spacing w:val="0"/>
          <w:w w:val="100"/>
          <w:kern w:val="2"/>
          <w:sz w:val="22"/>
          <w:szCs w:val="22"/>
          <w:highlight w:val="none"/>
          <w:lang w:eastAsia="zh-CN" w:bidi="ar-SA"/>
        </w:rPr>
        <w:t>2.服务地点：深圳市宝安区住房和建设事务中心</w:t>
      </w:r>
      <w:r>
        <w:rPr>
          <w:rStyle w:val="57"/>
          <w:rFonts w:hint="default" w:ascii="宋体" w:hAnsi="宋体" w:cs="宋体"/>
          <w:b w:val="0"/>
          <w:i w:val="0"/>
          <w:caps w:val="0"/>
          <w:spacing w:val="0"/>
          <w:w w:val="100"/>
          <w:kern w:val="2"/>
          <w:sz w:val="22"/>
          <w:szCs w:val="22"/>
          <w:highlight w:val="none"/>
          <w:lang w:eastAsia="zh-CN" w:bidi="ar-SA"/>
        </w:rPr>
        <w:t>。</w:t>
      </w:r>
    </w:p>
    <w:p w14:paraId="4A71EA7F">
      <w:pPr>
        <w:pStyle w:val="10"/>
        <w:keepNext w:val="0"/>
        <w:keepLines w:val="0"/>
        <w:pageBreakBefore w:val="0"/>
        <w:kinsoku/>
        <w:wordWrap/>
        <w:overflowPunct/>
        <w:topLinePunct w:val="0"/>
        <w:autoSpaceDE/>
        <w:autoSpaceDN/>
        <w:bidi w:val="0"/>
        <w:adjustRightInd/>
        <w:snapToGrid/>
        <w:spacing w:line="360" w:lineRule="auto"/>
        <w:ind w:firstLine="440" w:firstLineChars="200"/>
        <w:rPr>
          <w:rStyle w:val="57"/>
          <w:rFonts w:hint="default" w:ascii="宋体" w:hAnsi="宋体" w:eastAsia="宋体" w:cs="宋体"/>
          <w:b w:val="0"/>
          <w:i w:val="0"/>
          <w:caps w:val="0"/>
          <w:spacing w:val="0"/>
          <w:w w:val="100"/>
          <w:kern w:val="2"/>
          <w:sz w:val="22"/>
          <w:szCs w:val="22"/>
          <w:highlight w:val="none"/>
          <w:lang w:eastAsia="zh-CN" w:bidi="ar-SA"/>
        </w:rPr>
      </w:pPr>
      <w:r>
        <w:rPr>
          <w:rStyle w:val="57"/>
          <w:rFonts w:hint="eastAsia" w:ascii="宋体" w:hAnsi="宋体" w:eastAsia="宋体" w:cs="宋体"/>
          <w:b w:val="0"/>
          <w:i w:val="0"/>
          <w:caps w:val="0"/>
          <w:spacing w:val="0"/>
          <w:w w:val="100"/>
          <w:kern w:val="2"/>
          <w:sz w:val="22"/>
          <w:szCs w:val="22"/>
          <w:highlight w:val="none"/>
          <w:lang w:eastAsia="zh-CN" w:bidi="ar-SA"/>
        </w:rPr>
        <w:t>3.结算方式：按月支付</w:t>
      </w:r>
      <w:r>
        <w:rPr>
          <w:rStyle w:val="57"/>
          <w:rFonts w:hint="default" w:ascii="宋体" w:hAnsi="宋体" w:eastAsia="宋体" w:cs="宋体"/>
          <w:b w:val="0"/>
          <w:i w:val="0"/>
          <w:caps w:val="0"/>
          <w:spacing w:val="0"/>
          <w:w w:val="100"/>
          <w:kern w:val="2"/>
          <w:sz w:val="22"/>
          <w:szCs w:val="22"/>
          <w:highlight w:val="none"/>
          <w:lang w:eastAsia="zh-CN" w:bidi="ar-SA"/>
        </w:rPr>
        <w:t>，每月</w:t>
      </w:r>
      <w:r>
        <w:rPr>
          <w:rStyle w:val="57"/>
          <w:rFonts w:hint="eastAsia" w:ascii="宋体" w:hAnsi="宋体" w:eastAsia="宋体" w:cs="宋体"/>
          <w:b w:val="0"/>
          <w:i w:val="0"/>
          <w:caps w:val="0"/>
          <w:spacing w:val="0"/>
          <w:w w:val="100"/>
          <w:kern w:val="2"/>
          <w:sz w:val="22"/>
          <w:szCs w:val="22"/>
          <w:highlight w:val="none"/>
          <w:lang w:eastAsia="zh-CN" w:bidi="ar-SA"/>
        </w:rPr>
        <w:t>食堂管理服务费用=（中标价格-临时膳食保障服务费）/12</w:t>
      </w:r>
      <w:r>
        <w:rPr>
          <w:rStyle w:val="57"/>
          <w:rFonts w:hint="default" w:ascii="宋体" w:hAnsi="宋体" w:cs="宋体"/>
          <w:b w:val="0"/>
          <w:i w:val="0"/>
          <w:caps w:val="0"/>
          <w:spacing w:val="0"/>
          <w:w w:val="100"/>
          <w:kern w:val="2"/>
          <w:sz w:val="22"/>
          <w:szCs w:val="22"/>
          <w:highlight w:val="none"/>
          <w:lang w:eastAsia="zh-CN" w:bidi="ar-SA"/>
        </w:rPr>
        <w:t>个月。</w:t>
      </w:r>
    </w:p>
    <w:p w14:paraId="2A494424">
      <w:pPr>
        <w:pStyle w:val="10"/>
        <w:keepNext w:val="0"/>
        <w:keepLines w:val="0"/>
        <w:pageBreakBefore w:val="0"/>
        <w:kinsoku/>
        <w:wordWrap/>
        <w:overflowPunct/>
        <w:topLinePunct w:val="0"/>
        <w:autoSpaceDE/>
        <w:autoSpaceDN/>
        <w:bidi w:val="0"/>
        <w:adjustRightInd/>
        <w:snapToGrid/>
        <w:spacing w:line="360" w:lineRule="auto"/>
        <w:ind w:firstLine="442" w:firstLineChars="200"/>
        <w:rPr>
          <w:rStyle w:val="57"/>
          <w:rFonts w:hint="eastAsia" w:ascii="宋体" w:hAnsi="宋体" w:eastAsia="宋体" w:cs="宋体"/>
          <w:b w:val="0"/>
          <w:i w:val="0"/>
          <w:caps w:val="0"/>
          <w:spacing w:val="0"/>
          <w:w w:val="100"/>
          <w:kern w:val="2"/>
          <w:sz w:val="22"/>
          <w:szCs w:val="22"/>
          <w:highlight w:val="none"/>
          <w:lang w:eastAsia="zh-CN" w:bidi="ar-SA"/>
        </w:rPr>
      </w:pPr>
      <w:r>
        <w:rPr>
          <w:rStyle w:val="57"/>
          <w:rFonts w:hint="eastAsia" w:ascii="宋体" w:hAnsi="宋体" w:eastAsia="宋体" w:cs="宋体"/>
          <w:b/>
          <w:bCs w:val="0"/>
          <w:i w:val="0"/>
          <w:caps w:val="0"/>
          <w:spacing w:val="0"/>
          <w:w w:val="100"/>
          <w:kern w:val="2"/>
          <w:sz w:val="22"/>
          <w:szCs w:val="22"/>
          <w:highlight w:val="none"/>
          <w:lang w:eastAsia="zh-CN" w:bidi="ar-SA"/>
        </w:rPr>
        <w:t>4.</w:t>
      </w:r>
      <w:r>
        <w:rPr>
          <w:rStyle w:val="57"/>
          <w:rFonts w:hint="eastAsia" w:ascii="华文仿宋" w:hAnsi="华文仿宋" w:eastAsia="华文仿宋" w:cs="华文仿宋"/>
          <w:b/>
          <w:bCs w:val="0"/>
          <w:i w:val="0"/>
          <w:caps w:val="0"/>
          <w:spacing w:val="0"/>
          <w:w w:val="100"/>
          <w:kern w:val="2"/>
          <w:sz w:val="22"/>
          <w:szCs w:val="22"/>
          <w:highlight w:val="none"/>
          <w:lang w:eastAsia="zh-CN" w:bidi="ar-SA"/>
        </w:rPr>
        <w:t>★</w:t>
      </w:r>
      <w:r>
        <w:rPr>
          <w:rStyle w:val="57"/>
          <w:rFonts w:hint="eastAsia" w:ascii="宋体" w:hAnsi="宋体" w:eastAsia="宋体" w:cs="宋体"/>
          <w:b/>
          <w:bCs w:val="0"/>
          <w:i w:val="0"/>
          <w:caps w:val="0"/>
          <w:spacing w:val="0"/>
          <w:w w:val="100"/>
          <w:kern w:val="2"/>
          <w:sz w:val="22"/>
          <w:szCs w:val="22"/>
          <w:highlight w:val="none"/>
          <w:lang w:eastAsia="zh-CN" w:bidi="ar-SA"/>
        </w:rPr>
        <w:t>报价要求：</w:t>
      </w:r>
      <w:r>
        <w:rPr>
          <w:rStyle w:val="57"/>
          <w:rFonts w:hint="eastAsia" w:ascii="宋体" w:hAnsi="宋体" w:eastAsia="宋体" w:cs="宋体"/>
          <w:b w:val="0"/>
          <w:i w:val="0"/>
          <w:caps w:val="0"/>
          <w:spacing w:val="0"/>
          <w:w w:val="100"/>
          <w:kern w:val="2"/>
          <w:sz w:val="22"/>
          <w:szCs w:val="22"/>
          <w:highlight w:val="none"/>
          <w:lang w:eastAsia="zh-CN" w:bidi="ar-SA"/>
        </w:rPr>
        <w:t>投标人的投标价格中应包含年度食堂管理服务费与临时膳食保障服务费。年度食堂管理服务费为每年度中标人在国家法定工作日提供食堂管理服务所发生的固定费用。临时膳食保障服务费为中标人根据采购人的书面通知，在非国家法定工作日安排人员提供的临时膳食服务所发生的费用。投标人的投标价格应包括按要求完成服务的全部费用，包括但不限于：人员费用、培训、服装、办公费、管理费、保险、税金、利润、为保证项目服务质量应采购人要求增配人员产生费用等各项直接和间接费用。</w:t>
      </w:r>
    </w:p>
    <w:p w14:paraId="6212FC7C">
      <w:pPr>
        <w:pStyle w:val="10"/>
        <w:keepNext w:val="0"/>
        <w:keepLines w:val="0"/>
        <w:pageBreakBefore w:val="0"/>
        <w:kinsoku/>
        <w:wordWrap/>
        <w:overflowPunct/>
        <w:topLinePunct w:val="0"/>
        <w:autoSpaceDE/>
        <w:autoSpaceDN/>
        <w:bidi w:val="0"/>
        <w:adjustRightInd/>
        <w:snapToGrid/>
        <w:spacing w:line="360" w:lineRule="auto"/>
        <w:ind w:firstLine="442" w:firstLineChars="200"/>
        <w:rPr>
          <w:rStyle w:val="57"/>
          <w:rFonts w:hint="eastAsia" w:ascii="宋体" w:hAnsi="宋体" w:eastAsia="宋体" w:cs="宋体"/>
          <w:b/>
          <w:bCs w:val="0"/>
          <w:i w:val="0"/>
          <w:caps w:val="0"/>
          <w:spacing w:val="0"/>
          <w:w w:val="100"/>
          <w:kern w:val="2"/>
          <w:sz w:val="22"/>
          <w:szCs w:val="22"/>
          <w:highlight w:val="none"/>
          <w:lang w:eastAsia="zh-CN" w:bidi="ar-SA"/>
        </w:rPr>
      </w:pPr>
      <w:r>
        <w:rPr>
          <w:rStyle w:val="57"/>
          <w:rFonts w:hint="eastAsia" w:ascii="宋体" w:hAnsi="宋体" w:eastAsia="宋体" w:cs="宋体"/>
          <w:b/>
          <w:bCs w:val="0"/>
          <w:i w:val="0"/>
          <w:caps w:val="0"/>
          <w:spacing w:val="0"/>
          <w:w w:val="100"/>
          <w:kern w:val="2"/>
          <w:sz w:val="22"/>
          <w:szCs w:val="22"/>
          <w:highlight w:val="none"/>
          <w:lang w:eastAsia="zh-CN" w:bidi="ar-SA"/>
        </w:rPr>
        <w:t>投标人应当在投标价格中暂列人民币15000元作为临时膳食保障服务费，临时膳食保障服务费由采购人向中标人发出书面通知后以实际发生金额进行结算，每年最高不超过人民币15000元。</w:t>
      </w:r>
    </w:p>
    <w:p w14:paraId="4D84E91A">
      <w:pPr>
        <w:pStyle w:val="10"/>
        <w:keepNext w:val="0"/>
        <w:keepLines w:val="0"/>
        <w:pageBreakBefore w:val="0"/>
        <w:kinsoku/>
        <w:wordWrap/>
        <w:overflowPunct/>
        <w:topLinePunct w:val="0"/>
        <w:autoSpaceDE/>
        <w:autoSpaceDN/>
        <w:bidi w:val="0"/>
        <w:adjustRightInd/>
        <w:snapToGrid/>
        <w:spacing w:line="360" w:lineRule="auto"/>
        <w:ind w:firstLine="442" w:firstLineChars="200"/>
        <w:rPr>
          <w:rStyle w:val="57"/>
          <w:rFonts w:hint="eastAsia" w:ascii="宋体" w:hAnsi="宋体" w:eastAsia="宋体" w:cs="宋体"/>
          <w:b/>
          <w:bCs w:val="0"/>
          <w:i w:val="0"/>
          <w:caps w:val="0"/>
          <w:spacing w:val="0"/>
          <w:w w:val="100"/>
          <w:kern w:val="2"/>
          <w:sz w:val="22"/>
          <w:szCs w:val="22"/>
          <w:highlight w:val="none"/>
          <w:lang w:eastAsia="zh-CN" w:bidi="ar-SA"/>
        </w:rPr>
      </w:pPr>
      <w:r>
        <w:rPr>
          <w:rStyle w:val="57"/>
          <w:rFonts w:hint="eastAsia" w:ascii="宋体" w:hAnsi="宋体" w:eastAsia="宋体" w:cs="宋体"/>
          <w:b/>
          <w:bCs w:val="0"/>
          <w:i w:val="0"/>
          <w:caps w:val="0"/>
          <w:spacing w:val="0"/>
          <w:w w:val="100"/>
          <w:kern w:val="2"/>
          <w:sz w:val="22"/>
          <w:szCs w:val="22"/>
          <w:highlight w:val="none"/>
          <w:lang w:eastAsia="zh-CN" w:bidi="ar-SA"/>
        </w:rPr>
        <w:t>中标价格中除临时膳食保障服务费按照实际发生金额据实结算外，每月食堂管理服务费按照（中标价格-临时膳食保障服务费）/12个月的标准进行支付。</w:t>
      </w:r>
    </w:p>
    <w:p w14:paraId="4B24EE41">
      <w:pPr>
        <w:pStyle w:val="10"/>
        <w:keepNext w:val="0"/>
        <w:keepLines w:val="0"/>
        <w:pageBreakBefore w:val="0"/>
        <w:kinsoku/>
        <w:wordWrap/>
        <w:overflowPunct/>
        <w:topLinePunct w:val="0"/>
        <w:autoSpaceDE/>
        <w:autoSpaceDN/>
        <w:bidi w:val="0"/>
        <w:adjustRightInd/>
        <w:snapToGrid/>
        <w:spacing w:line="360" w:lineRule="auto"/>
        <w:ind w:firstLine="440" w:firstLineChars="200"/>
        <w:rPr>
          <w:rStyle w:val="57"/>
          <w:rFonts w:hint="eastAsia" w:ascii="宋体" w:hAnsi="宋体" w:eastAsia="宋体" w:cs="宋体"/>
          <w:b w:val="0"/>
          <w:i w:val="0"/>
          <w:caps w:val="0"/>
          <w:spacing w:val="0"/>
          <w:w w:val="100"/>
          <w:kern w:val="2"/>
          <w:sz w:val="22"/>
          <w:szCs w:val="22"/>
          <w:highlight w:val="none"/>
          <w:lang w:eastAsia="zh-CN" w:bidi="ar-SA"/>
        </w:rPr>
      </w:pPr>
      <w:r>
        <w:rPr>
          <w:rStyle w:val="57"/>
          <w:rFonts w:hint="eastAsia" w:ascii="宋体" w:hAnsi="宋体" w:eastAsia="宋体" w:cs="宋体"/>
          <w:b w:val="0"/>
          <w:i w:val="0"/>
          <w:caps w:val="0"/>
          <w:spacing w:val="0"/>
          <w:w w:val="100"/>
          <w:kern w:val="2"/>
          <w:sz w:val="22"/>
          <w:szCs w:val="22"/>
          <w:highlight w:val="none"/>
          <w:lang w:eastAsia="zh-CN" w:bidi="ar-SA"/>
        </w:rPr>
        <w:t xml:space="preserve">投标人投标报价不得超过财政预算限额；同时应充分考虑投标报价的风险，根据本企业的成本自行决定报价，但不得以低于其企业成本的报价投标；投标人不得期望通过索赔等方式获取补偿。 </w:t>
      </w:r>
    </w:p>
    <w:p w14:paraId="69F1CD4B">
      <w:pPr>
        <w:pStyle w:val="10"/>
        <w:keepNext w:val="0"/>
        <w:keepLines w:val="0"/>
        <w:pageBreakBefore w:val="0"/>
        <w:kinsoku/>
        <w:wordWrap/>
        <w:overflowPunct/>
        <w:topLinePunct w:val="0"/>
        <w:autoSpaceDE/>
        <w:autoSpaceDN/>
        <w:bidi w:val="0"/>
        <w:adjustRightInd/>
        <w:snapToGrid/>
        <w:spacing w:line="360" w:lineRule="auto"/>
        <w:ind w:firstLine="440" w:firstLineChars="200"/>
        <w:rPr>
          <w:rStyle w:val="57"/>
          <w:rFonts w:hint="eastAsia" w:ascii="宋体" w:hAnsi="宋体" w:eastAsia="宋体" w:cs="宋体"/>
          <w:b w:val="0"/>
          <w:i w:val="0"/>
          <w:caps w:val="0"/>
          <w:spacing w:val="0"/>
          <w:w w:val="100"/>
          <w:kern w:val="2"/>
          <w:sz w:val="22"/>
          <w:szCs w:val="22"/>
          <w:highlight w:val="none"/>
          <w:lang w:eastAsia="zh-CN" w:bidi="ar-SA"/>
        </w:rPr>
      </w:pPr>
      <w:r>
        <w:rPr>
          <w:rStyle w:val="57"/>
          <w:rFonts w:hint="eastAsia" w:ascii="宋体" w:hAnsi="宋体" w:eastAsia="宋体" w:cs="宋体"/>
          <w:b w:val="0"/>
          <w:i w:val="0"/>
          <w:caps w:val="0"/>
          <w:spacing w:val="0"/>
          <w:w w:val="100"/>
          <w:kern w:val="2"/>
          <w:sz w:val="22"/>
          <w:szCs w:val="22"/>
          <w:highlight w:val="none"/>
          <w:lang w:eastAsia="zh-CN" w:bidi="ar-SA"/>
        </w:rPr>
        <w:t>经营期间的水费、电费、煤气费、卫生费、设施设备（更新）购置费、各种检验检查费等费用均由采购人承担。</w:t>
      </w:r>
    </w:p>
    <w:p w14:paraId="4CE17AF3">
      <w:pPr>
        <w:pStyle w:val="10"/>
        <w:keepNext w:val="0"/>
        <w:keepLines w:val="0"/>
        <w:pageBreakBefore w:val="0"/>
        <w:kinsoku/>
        <w:wordWrap/>
        <w:overflowPunct/>
        <w:topLinePunct w:val="0"/>
        <w:autoSpaceDE/>
        <w:autoSpaceDN/>
        <w:bidi w:val="0"/>
        <w:adjustRightInd/>
        <w:snapToGrid/>
        <w:spacing w:line="360" w:lineRule="auto"/>
        <w:ind w:firstLine="440" w:firstLineChars="200"/>
        <w:rPr>
          <w:rStyle w:val="57"/>
          <w:rFonts w:hint="eastAsia" w:ascii="宋体" w:hAnsi="宋体" w:eastAsia="宋体" w:cs="宋体"/>
          <w:b w:val="0"/>
          <w:i w:val="0"/>
          <w:caps w:val="0"/>
          <w:spacing w:val="0"/>
          <w:w w:val="100"/>
          <w:kern w:val="2"/>
          <w:sz w:val="22"/>
          <w:szCs w:val="22"/>
          <w:highlight w:val="none"/>
          <w:lang w:eastAsia="zh-CN" w:bidi="ar-SA"/>
        </w:rPr>
      </w:pPr>
      <w:r>
        <w:rPr>
          <w:rStyle w:val="57"/>
          <w:rFonts w:hint="eastAsia" w:ascii="宋体" w:hAnsi="宋体" w:eastAsia="宋体" w:cs="宋体"/>
          <w:b w:val="0"/>
          <w:i w:val="0"/>
          <w:caps w:val="0"/>
          <w:spacing w:val="0"/>
          <w:w w:val="100"/>
          <w:kern w:val="2"/>
          <w:sz w:val="22"/>
          <w:szCs w:val="22"/>
          <w:highlight w:val="none"/>
          <w:lang w:eastAsia="zh-CN" w:bidi="ar-SA"/>
        </w:rPr>
        <w:t xml:space="preserve">对于本文件中未列明，而投标人认为必需的费用也需列入报价。在合同实施时，采购人将不予支付没有列入的项目费用，并认为此项目的费用已包括在报价中。 </w:t>
      </w:r>
    </w:p>
    <w:p w14:paraId="6781E148">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442" w:firstLineChars="200"/>
        <w:jc w:val="left"/>
        <w:textAlignment w:val="baseline"/>
        <w:rPr>
          <w:rStyle w:val="57"/>
          <w:rFonts w:hint="default" w:ascii="宋体" w:hAnsi="宋体" w:eastAsia="宋体" w:cs="宋体"/>
          <w:b/>
          <w:bCs/>
          <w:i w:val="0"/>
          <w:caps w:val="0"/>
          <w:spacing w:val="0"/>
          <w:w w:val="100"/>
          <w:kern w:val="2"/>
          <w:sz w:val="22"/>
          <w:szCs w:val="22"/>
          <w:highlight w:val="none"/>
          <w:lang w:eastAsia="zh-CN" w:bidi="ar-SA"/>
        </w:rPr>
      </w:pPr>
      <w:r>
        <w:rPr>
          <w:rStyle w:val="57"/>
          <w:rFonts w:hint="eastAsia" w:ascii="宋体" w:hAnsi="宋体" w:eastAsia="宋体" w:cs="宋体"/>
          <w:b/>
          <w:bCs/>
          <w:i w:val="0"/>
          <w:caps w:val="0"/>
          <w:spacing w:val="0"/>
          <w:w w:val="100"/>
          <w:kern w:val="2"/>
          <w:sz w:val="22"/>
          <w:szCs w:val="22"/>
          <w:highlight w:val="none"/>
          <w:lang w:eastAsia="zh-CN" w:bidi="ar-SA"/>
        </w:rPr>
        <w:t>5.</w:t>
      </w:r>
      <w:r>
        <w:rPr>
          <w:rStyle w:val="57"/>
          <w:rFonts w:hint="eastAsia" w:ascii="华文仿宋" w:hAnsi="华文仿宋" w:eastAsia="华文仿宋" w:cs="华文仿宋"/>
          <w:b/>
          <w:bCs/>
          <w:i w:val="0"/>
          <w:caps w:val="0"/>
          <w:spacing w:val="0"/>
          <w:w w:val="100"/>
          <w:kern w:val="2"/>
          <w:sz w:val="22"/>
          <w:szCs w:val="22"/>
          <w:highlight w:val="none"/>
          <w:lang w:eastAsia="zh-CN" w:bidi="ar-SA"/>
        </w:rPr>
        <w:t>★</w:t>
      </w:r>
      <w:r>
        <w:rPr>
          <w:rStyle w:val="57"/>
          <w:rFonts w:hint="eastAsia" w:ascii="宋体" w:hAnsi="宋体" w:eastAsia="宋体" w:cs="宋体"/>
          <w:b/>
          <w:bCs/>
          <w:i w:val="0"/>
          <w:caps w:val="0"/>
          <w:spacing w:val="0"/>
          <w:w w:val="100"/>
          <w:kern w:val="2"/>
          <w:sz w:val="22"/>
          <w:szCs w:val="22"/>
          <w:highlight w:val="none"/>
          <w:lang w:val="en-US" w:eastAsia="zh-CN" w:bidi="ar-SA"/>
        </w:rPr>
        <w:t>履约</w:t>
      </w:r>
      <w:r>
        <w:rPr>
          <w:rStyle w:val="57"/>
          <w:rFonts w:hint="default" w:ascii="宋体" w:hAnsi="宋体" w:cs="宋体"/>
          <w:b/>
          <w:bCs/>
          <w:i w:val="0"/>
          <w:caps w:val="0"/>
          <w:spacing w:val="0"/>
          <w:w w:val="100"/>
          <w:kern w:val="2"/>
          <w:sz w:val="22"/>
          <w:szCs w:val="22"/>
          <w:highlight w:val="none"/>
          <w:lang w:eastAsia="zh-CN" w:bidi="ar-SA"/>
        </w:rPr>
        <w:t>保函</w:t>
      </w:r>
      <w:r>
        <w:rPr>
          <w:rStyle w:val="57"/>
          <w:rFonts w:hint="eastAsia" w:ascii="宋体" w:hAnsi="宋体" w:eastAsia="宋体" w:cs="宋体"/>
          <w:b/>
          <w:bCs/>
          <w:i w:val="0"/>
          <w:caps w:val="0"/>
          <w:spacing w:val="0"/>
          <w:w w:val="100"/>
          <w:kern w:val="2"/>
          <w:sz w:val="22"/>
          <w:szCs w:val="22"/>
          <w:highlight w:val="none"/>
          <w:lang w:eastAsia="zh-CN" w:bidi="ar-SA"/>
        </w:rPr>
        <w:t>要求</w:t>
      </w:r>
      <w:r>
        <w:rPr>
          <w:rStyle w:val="57"/>
          <w:rFonts w:hint="default" w:ascii="宋体" w:hAnsi="宋体" w:cs="宋体"/>
          <w:b/>
          <w:bCs/>
          <w:i w:val="0"/>
          <w:caps w:val="0"/>
          <w:spacing w:val="0"/>
          <w:w w:val="100"/>
          <w:kern w:val="2"/>
          <w:sz w:val="22"/>
          <w:szCs w:val="22"/>
          <w:highlight w:val="none"/>
          <w:lang w:eastAsia="zh-CN" w:bidi="ar-SA"/>
        </w:rPr>
        <w:t>：</w:t>
      </w:r>
    </w:p>
    <w:p w14:paraId="2E02F3EC">
      <w:pPr>
        <w:pStyle w:val="10"/>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Style w:val="57"/>
          <w:rFonts w:hint="eastAsia" w:ascii="宋体" w:hAnsi="宋体" w:eastAsia="宋体" w:cs="宋体"/>
          <w:b w:val="0"/>
          <w:i w:val="0"/>
          <w:caps w:val="0"/>
          <w:spacing w:val="0"/>
          <w:w w:val="100"/>
          <w:kern w:val="2"/>
          <w:sz w:val="22"/>
          <w:szCs w:val="22"/>
          <w:highlight w:val="none"/>
          <w:lang w:val="en-US" w:eastAsia="zh-CN" w:bidi="ar-SA"/>
        </w:rPr>
      </w:pPr>
      <w:r>
        <w:rPr>
          <w:rStyle w:val="57"/>
          <w:rFonts w:hint="eastAsia" w:ascii="宋体" w:hAnsi="宋体" w:eastAsia="宋体" w:cs="宋体"/>
          <w:b w:val="0"/>
          <w:i w:val="0"/>
          <w:caps w:val="0"/>
          <w:spacing w:val="0"/>
          <w:w w:val="100"/>
          <w:kern w:val="2"/>
          <w:sz w:val="22"/>
          <w:szCs w:val="22"/>
          <w:highlight w:val="none"/>
          <w:lang w:val="en-US" w:eastAsia="zh-CN" w:bidi="ar-SA"/>
        </w:rPr>
        <w:t>为确保中标人服务质量，中标人应于合同签订之日前5个工作日内提供保额为人民币伍万元整的不可撤销的见索即付银行保函作为履约担保，保函有效期为1年，银行保函到期自动失效；如续签合同，中标人应当在合同续签前继续提供续签合同期内的伍万元履约保函。在乙方擅自中止服务、其他导致合同目的无法实现的重大违约以及出现服务质量不合格的情况下，甲方有权就乙方提供的履约保函主张索赔。</w:t>
      </w:r>
    </w:p>
    <w:p w14:paraId="0F302C49">
      <w:pPr>
        <w:pStyle w:val="10"/>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Style w:val="57"/>
          <w:rFonts w:hint="default" w:ascii="宋体" w:hAnsi="宋体" w:eastAsia="宋体" w:cs="宋体"/>
          <w:b w:val="0"/>
          <w:i w:val="0"/>
          <w:caps w:val="0"/>
          <w:spacing w:val="0"/>
          <w:w w:val="100"/>
          <w:kern w:val="2"/>
          <w:sz w:val="22"/>
          <w:szCs w:val="22"/>
          <w:highlight w:val="none"/>
          <w:lang w:eastAsia="zh-CN" w:bidi="ar-SA"/>
        </w:rPr>
      </w:pPr>
      <w:r>
        <w:rPr>
          <w:rStyle w:val="57"/>
          <w:rFonts w:hint="default" w:ascii="宋体" w:hAnsi="宋体" w:cs="宋体"/>
          <w:b w:val="0"/>
          <w:i w:val="0"/>
          <w:caps w:val="0"/>
          <w:spacing w:val="0"/>
          <w:w w:val="100"/>
          <w:kern w:val="2"/>
          <w:sz w:val="22"/>
          <w:szCs w:val="22"/>
          <w:highlight w:val="none"/>
          <w:lang w:eastAsia="zh-CN" w:bidi="ar-SA"/>
        </w:rPr>
        <w:t>6.考核要求：采购人每季度将对服务项目进行履约评价打分，具体履约考核内容在签订服务合同时确定。</w:t>
      </w:r>
    </w:p>
    <w:p w14:paraId="4DCA19E8">
      <w:pPr>
        <w:pStyle w:val="10"/>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b w:val="0"/>
          <w:bCs/>
          <w:color w:val="auto"/>
          <w:kern w:val="0"/>
          <w:sz w:val="22"/>
          <w:szCs w:val="22"/>
          <w:highlight w:val="none"/>
          <w:lang w:eastAsia="zh-CN"/>
        </w:rPr>
      </w:pPr>
      <w:r>
        <w:rPr>
          <w:rStyle w:val="57"/>
          <w:rFonts w:hint="default" w:ascii="宋体" w:hAnsi="宋体" w:cs="宋体"/>
          <w:b w:val="0"/>
          <w:i w:val="0"/>
          <w:caps w:val="0"/>
          <w:spacing w:val="0"/>
          <w:w w:val="100"/>
          <w:kern w:val="2"/>
          <w:sz w:val="22"/>
          <w:szCs w:val="22"/>
          <w:highlight w:val="none"/>
          <w:lang w:eastAsia="zh-CN" w:bidi="ar-SA"/>
        </w:rPr>
        <w:t>7</w:t>
      </w:r>
      <w:r>
        <w:rPr>
          <w:rStyle w:val="57"/>
          <w:rFonts w:hint="eastAsia" w:ascii="宋体" w:hAnsi="宋体" w:eastAsia="宋体" w:cs="宋体"/>
          <w:b w:val="0"/>
          <w:i w:val="0"/>
          <w:caps w:val="0"/>
          <w:spacing w:val="0"/>
          <w:w w:val="100"/>
          <w:kern w:val="2"/>
          <w:sz w:val="22"/>
          <w:szCs w:val="22"/>
          <w:highlight w:val="none"/>
          <w:lang w:eastAsia="zh-CN" w:bidi="ar-SA"/>
        </w:rPr>
        <w:t>.保险要求：</w:t>
      </w:r>
      <w:r>
        <w:rPr>
          <w:rStyle w:val="57"/>
          <w:rFonts w:hint="eastAsia" w:ascii="宋体" w:hAnsi="宋体" w:eastAsia="宋体" w:cs="宋体"/>
          <w:b/>
          <w:bCs w:val="0"/>
          <w:i w:val="0"/>
          <w:caps w:val="0"/>
          <w:spacing w:val="0"/>
          <w:w w:val="100"/>
          <w:kern w:val="2"/>
          <w:sz w:val="22"/>
          <w:szCs w:val="22"/>
          <w:highlight w:val="none"/>
          <w:lang w:val="en-US" w:eastAsia="zh-CN" w:bidi="ar-SA"/>
        </w:rPr>
        <w:t>★</w:t>
      </w:r>
      <w:r>
        <w:rPr>
          <w:rStyle w:val="57"/>
          <w:rFonts w:hint="default" w:ascii="宋体" w:hAnsi="宋体" w:cs="宋体"/>
          <w:b/>
          <w:bCs w:val="0"/>
          <w:i w:val="0"/>
          <w:caps w:val="0"/>
          <w:spacing w:val="0"/>
          <w:w w:val="100"/>
          <w:kern w:val="2"/>
          <w:sz w:val="22"/>
          <w:szCs w:val="22"/>
          <w:highlight w:val="none"/>
          <w:lang w:eastAsia="zh-CN" w:bidi="ar-SA"/>
        </w:rPr>
        <w:t>中标人</w:t>
      </w:r>
      <w:r>
        <w:rPr>
          <w:rStyle w:val="57"/>
          <w:rFonts w:hint="eastAsia" w:ascii="宋体" w:hAnsi="宋体" w:eastAsia="宋体" w:cs="宋体"/>
          <w:b/>
          <w:bCs w:val="0"/>
          <w:i w:val="0"/>
          <w:caps w:val="0"/>
          <w:spacing w:val="0"/>
          <w:w w:val="100"/>
          <w:kern w:val="2"/>
          <w:sz w:val="22"/>
          <w:szCs w:val="22"/>
          <w:highlight w:val="none"/>
          <w:lang w:eastAsia="zh-CN" w:bidi="ar-SA"/>
        </w:rPr>
        <w:t>需购买食品安全保险及公众责任险，并保证本项目服务期限内不中断。</w:t>
      </w:r>
    </w:p>
    <w:p w14:paraId="0F03F2C8">
      <w:pPr>
        <w:rPr>
          <w:rFonts w:hint="eastAsia"/>
          <w:highlight w:val="none"/>
        </w:rPr>
      </w:pPr>
      <w:r>
        <w:rPr>
          <w:rFonts w:hint="eastAsia" w:ascii="宋体" w:hAnsi="宋体" w:eastAsia="宋体" w:cs="宋体"/>
          <w:b w:val="0"/>
          <w:bCs/>
          <w:color w:val="auto"/>
          <w:kern w:val="0"/>
          <w:sz w:val="22"/>
          <w:szCs w:val="22"/>
          <w:highlight w:val="none"/>
          <w:lang w:eastAsia="zh-CN"/>
        </w:rPr>
        <w:br w:type="page"/>
      </w:r>
    </w:p>
    <w:p w14:paraId="5FE421B6">
      <w:pPr>
        <w:pStyle w:val="3"/>
        <w:numPr>
          <w:ilvl w:val="0"/>
          <w:numId w:val="7"/>
        </w:numPr>
        <w:adjustRightInd/>
        <w:textAlignment w:val="auto"/>
        <w:rPr>
          <w:rFonts w:cs="宋体"/>
          <w:color w:val="000000" w:themeColor="text1"/>
          <w:szCs w:val="30"/>
          <w:highlight w:val="none"/>
          <w14:textFill>
            <w14:solidFill>
              <w14:schemeClr w14:val="tx1"/>
            </w14:solidFill>
          </w14:textFill>
        </w:rPr>
      </w:pPr>
      <w:r>
        <w:rPr>
          <w:rFonts w:hint="eastAsia" w:cs="宋体"/>
          <w:color w:val="000000" w:themeColor="text1"/>
          <w:szCs w:val="30"/>
          <w:highlight w:val="none"/>
          <w14:textFill>
            <w14:solidFill>
              <w14:schemeClr w14:val="tx1"/>
            </w14:solidFill>
          </w14:textFill>
        </w:rPr>
        <w:t>政策导向</w:t>
      </w:r>
    </w:p>
    <w:p w14:paraId="7F1890E5">
      <w:pPr>
        <w:spacing w:line="360" w:lineRule="auto"/>
        <w:ind w:firstLine="440" w:firstLineChars="200"/>
        <w:rPr>
          <w:rFonts w:hint="eastAsia" w:ascii="宋体" w:hAnsi="宋体" w:cs="宋体"/>
          <w:sz w:val="22"/>
          <w:highlight w:val="none"/>
        </w:rPr>
      </w:pPr>
      <w:r>
        <w:rPr>
          <w:rFonts w:hint="eastAsia" w:ascii="宋体" w:hAnsi="宋体" w:cs="宋体"/>
          <w:sz w:val="22"/>
          <w:highlight w:val="none"/>
        </w:rPr>
        <w:t>（1）投标人提供的服务全部均由优惠主体承接，则对其投标总价给予</w:t>
      </w:r>
      <w:r>
        <w:rPr>
          <w:rFonts w:hint="eastAsia" w:ascii="宋体" w:hAnsi="宋体" w:cs="宋体"/>
          <w:sz w:val="22"/>
          <w:highlight w:val="none"/>
          <w:lang w:val="en-US" w:eastAsia="zh-CN"/>
        </w:rPr>
        <w:t xml:space="preserve"> </w:t>
      </w:r>
      <w:r>
        <w:rPr>
          <w:rFonts w:hint="eastAsia" w:ascii="宋体" w:hAnsi="宋体" w:cs="宋体"/>
          <w:b/>
          <w:bCs/>
          <w:sz w:val="22"/>
          <w:highlight w:val="none"/>
          <w:u w:val="single"/>
        </w:rPr>
        <w:t>0 %</w:t>
      </w:r>
      <w:r>
        <w:rPr>
          <w:rFonts w:hint="eastAsia" w:ascii="宋体" w:hAnsi="宋体" w:cs="宋体"/>
          <w:sz w:val="22"/>
          <w:highlight w:val="none"/>
        </w:rPr>
        <w:t>的扣除，用扣除后的价格参与评审。满足多项优惠政策的企业，不重复享受多项价格扣除政策。</w:t>
      </w:r>
    </w:p>
    <w:p w14:paraId="2A251D6E">
      <w:pPr>
        <w:spacing w:line="360" w:lineRule="auto"/>
        <w:ind w:firstLine="440" w:firstLineChars="200"/>
        <w:rPr>
          <w:rFonts w:hint="eastAsia" w:ascii="宋体" w:hAnsi="宋体" w:cs="宋体"/>
          <w:sz w:val="22"/>
          <w:highlight w:val="none"/>
        </w:rPr>
      </w:pPr>
      <w:r>
        <w:rPr>
          <w:rFonts w:hint="eastAsia" w:ascii="宋体" w:hAnsi="宋体" w:cs="宋体"/>
          <w:sz w:val="22"/>
          <w:highlight w:val="none"/>
        </w:rPr>
        <w:t>备注：（a）优惠主体包括小型企业、微型企业、监狱企业、残疾人福利性单位；中小企业是指在中华人民共和国境内依法设立，依据国务院批准的中小企业划分标准确定的中型企业、小型企业、微型企业，但与大企业的负责人为同一人，或者与大企业存在直接控股、管理关系的除外；符合中小企业划分标准的个体工商户，在政府采购活动中视同中小企业；(b)优惠主体承接是指提供服务的人员为中小企业依照《中华人民共和国劳动合同法》订立劳动合同的从业人员。</w:t>
      </w:r>
    </w:p>
    <w:p w14:paraId="77605DF3">
      <w:pPr>
        <w:spacing w:line="360" w:lineRule="auto"/>
        <w:ind w:firstLine="440" w:firstLineChars="200"/>
        <w:rPr>
          <w:rFonts w:hint="eastAsia" w:ascii="宋体" w:hAnsi="宋体" w:cs="宋体"/>
          <w:sz w:val="22"/>
          <w:highlight w:val="none"/>
          <w:u w:val="single"/>
        </w:rPr>
      </w:pPr>
      <w:r>
        <w:rPr>
          <w:rFonts w:hint="eastAsia" w:ascii="宋体" w:hAnsi="宋体" w:cs="宋体"/>
          <w:sz w:val="22"/>
          <w:highlight w:val="none"/>
        </w:rPr>
        <w:t>（2）根据</w:t>
      </w:r>
      <w:r>
        <w:rPr>
          <w:rFonts w:hint="eastAsia" w:ascii="宋体" w:hAnsi="宋体" w:cs="宋体"/>
          <w:sz w:val="24"/>
          <w:szCs w:val="24"/>
          <w:highlight w:val="none"/>
        </w:rPr>
        <w:t>《</w:t>
      </w:r>
      <w:r>
        <w:rPr>
          <w:rFonts w:hint="eastAsia" w:ascii="宋体" w:hAnsi="宋体" w:cs="宋体"/>
          <w:sz w:val="22"/>
          <w:highlight w:val="none"/>
        </w:rPr>
        <w:t>工业和信息化部、国家统计局、国家发展和改革委员会、财政部关于印发中小企业划型标准规定的通知》（工信部联企业〔2011〕300 号），本项目采购标的（服务需求）对应的中小企业划分标准所属行业为</w:t>
      </w:r>
      <w:r>
        <w:rPr>
          <w:rFonts w:hint="eastAsia" w:ascii="宋体" w:hAnsi="宋体" w:cs="宋体"/>
          <w:b/>
          <w:bCs/>
          <w:color w:val="auto"/>
          <w:sz w:val="22"/>
          <w:szCs w:val="22"/>
          <w:highlight w:val="none"/>
          <w:u w:val="single"/>
          <w:lang w:eastAsia="zh-CN"/>
        </w:rPr>
        <w:t>餐饮</w:t>
      </w:r>
      <w:r>
        <w:rPr>
          <w:rFonts w:hint="eastAsia" w:ascii="宋体" w:hAnsi="宋体" w:eastAsia="宋体" w:cs="宋体"/>
          <w:b/>
          <w:bCs/>
          <w:color w:val="auto"/>
          <w:sz w:val="22"/>
          <w:szCs w:val="22"/>
          <w:highlight w:val="none"/>
          <w:u w:val="single"/>
          <w:lang w:eastAsia="zh-CN"/>
        </w:rPr>
        <w:t>业</w:t>
      </w:r>
      <w:r>
        <w:rPr>
          <w:rFonts w:hint="eastAsia" w:ascii="宋体" w:hAnsi="宋体" w:cs="宋体"/>
          <w:b/>
          <w:bCs/>
          <w:sz w:val="22"/>
          <w:highlight w:val="none"/>
          <w:u w:val="single"/>
        </w:rPr>
        <w:t>。</w:t>
      </w:r>
    </w:p>
    <w:p w14:paraId="7B67402E">
      <w:pPr>
        <w:spacing w:line="360" w:lineRule="auto"/>
        <w:ind w:firstLine="440" w:firstLineChars="200"/>
        <w:rPr>
          <w:rFonts w:hint="eastAsia" w:ascii="宋体" w:hAnsi="宋体" w:cs="宋体"/>
          <w:sz w:val="22"/>
          <w:highlight w:val="none"/>
        </w:rPr>
      </w:pPr>
      <w:r>
        <w:rPr>
          <w:rFonts w:hint="eastAsia" w:ascii="宋体" w:hAnsi="宋体" w:cs="宋体"/>
          <w:sz w:val="22"/>
          <w:highlight w:val="none"/>
        </w:rPr>
        <w:t>（3）小型企业、微型企业、残疾人福利性单位作为优惠主体的认定资料为《中小企业声明函》《残疾人福利性单位声明函》；监狱企业作为优惠主体的认定资料为省级以上监狱管理局、戒毒管理局出具的监狱企业证明文件。声明函样式见本招标文件第三章“投标文件格式、附件”中“中小企业、残疾人福利性单位和监狱企业政策导向”章节提供的格式）。</w:t>
      </w:r>
      <w:r>
        <w:rPr>
          <w:rFonts w:hint="eastAsia"/>
          <w:sz w:val="22"/>
          <w:highlight w:val="none"/>
        </w:rPr>
        <w:t>监狱企业或者代理提供监狱企业货物的供应商如须享受优惠政策，除上述资料外，还须提供省级以上监狱管理局、戒毒管理局出具的监狱企业证明文件。</w:t>
      </w:r>
    </w:p>
    <w:p w14:paraId="1E871D3B">
      <w:pPr>
        <w:spacing w:line="360" w:lineRule="auto"/>
        <w:ind w:firstLine="440" w:firstLineChars="200"/>
        <w:rPr>
          <w:rFonts w:ascii="宋体" w:hAnsi="宋体" w:cs="宋体"/>
          <w:color w:val="000000" w:themeColor="text1"/>
          <w:szCs w:val="22"/>
          <w:highlight w:val="none"/>
          <w14:textFill>
            <w14:solidFill>
              <w14:schemeClr w14:val="tx1"/>
            </w14:solidFill>
          </w14:textFill>
        </w:rPr>
      </w:pPr>
      <w:r>
        <w:rPr>
          <w:rFonts w:hint="eastAsia" w:ascii="宋体" w:hAnsi="宋体" w:cs="宋体"/>
          <w:sz w:val="22"/>
          <w:highlight w:val="none"/>
        </w:rPr>
        <w:t>（4）享受价格扣除获得政府采购合同的，小微企业不得将合同分包给大中型企业。</w:t>
      </w:r>
    </w:p>
    <w:p w14:paraId="690A7775">
      <w:pPr>
        <w:rPr>
          <w:rFonts w:ascii="宋体" w:hAnsi="宋体" w:cs="宋体"/>
          <w:color w:val="000000" w:themeColor="text1"/>
          <w:szCs w:val="22"/>
          <w:highlight w:val="none"/>
          <w14:textFill>
            <w14:solidFill>
              <w14:schemeClr w14:val="tx1"/>
            </w14:solidFill>
          </w14:textFill>
        </w:rPr>
      </w:pPr>
    </w:p>
    <w:p w14:paraId="45109F89">
      <w:pPr>
        <w:rPr>
          <w:rFonts w:cs="宋体"/>
          <w:bCs/>
          <w:color w:val="000000" w:themeColor="text1"/>
          <w:kern w:val="28"/>
          <w:sz w:val="44"/>
          <w:szCs w:val="44"/>
          <w:highlight w:val="none"/>
          <w14:textFill>
            <w14:solidFill>
              <w14:schemeClr w14:val="tx1"/>
            </w14:solidFill>
          </w14:textFill>
        </w:rPr>
      </w:pPr>
    </w:p>
    <w:p w14:paraId="0C14ED2B">
      <w:pPr>
        <w:rPr>
          <w:rFonts w:cs="宋体"/>
          <w:bCs/>
          <w:color w:val="000000" w:themeColor="text1"/>
          <w:kern w:val="28"/>
          <w:sz w:val="44"/>
          <w:szCs w:val="44"/>
          <w:highlight w:val="none"/>
          <w14:textFill>
            <w14:solidFill>
              <w14:schemeClr w14:val="tx1"/>
            </w14:solidFill>
          </w14:textFill>
        </w:rPr>
      </w:pPr>
    </w:p>
    <w:p w14:paraId="01E8C6AF">
      <w:pPr>
        <w:rPr>
          <w:rFonts w:cs="宋体"/>
          <w:bCs/>
          <w:color w:val="000000" w:themeColor="text1"/>
          <w:kern w:val="28"/>
          <w:sz w:val="44"/>
          <w:szCs w:val="44"/>
          <w:highlight w:val="none"/>
          <w14:textFill>
            <w14:solidFill>
              <w14:schemeClr w14:val="tx1"/>
            </w14:solidFill>
          </w14:textFill>
        </w:rPr>
      </w:pPr>
    </w:p>
    <w:p w14:paraId="2B3B0F0B">
      <w:pPr>
        <w:rPr>
          <w:rFonts w:cs="宋体"/>
          <w:bCs/>
          <w:color w:val="000000" w:themeColor="text1"/>
          <w:kern w:val="28"/>
          <w:sz w:val="44"/>
          <w:szCs w:val="44"/>
          <w:highlight w:val="none"/>
          <w14:textFill>
            <w14:solidFill>
              <w14:schemeClr w14:val="tx1"/>
            </w14:solidFill>
          </w14:textFill>
        </w:rPr>
      </w:pPr>
    </w:p>
    <w:p w14:paraId="134062B9">
      <w:pPr>
        <w:rPr>
          <w:rFonts w:cs="宋体"/>
          <w:bCs/>
          <w:color w:val="000000" w:themeColor="text1"/>
          <w:kern w:val="28"/>
          <w:sz w:val="44"/>
          <w:szCs w:val="44"/>
          <w:highlight w:val="none"/>
          <w14:textFill>
            <w14:solidFill>
              <w14:schemeClr w14:val="tx1"/>
            </w14:solidFill>
          </w14:textFill>
        </w:rPr>
      </w:pPr>
    </w:p>
    <w:p w14:paraId="5F1DA666">
      <w:pPr>
        <w:rPr>
          <w:rFonts w:cs="宋体"/>
          <w:bCs/>
          <w:color w:val="000000" w:themeColor="text1"/>
          <w:kern w:val="28"/>
          <w:sz w:val="44"/>
          <w:szCs w:val="44"/>
          <w:highlight w:val="none"/>
          <w14:textFill>
            <w14:solidFill>
              <w14:schemeClr w14:val="tx1"/>
            </w14:solidFill>
          </w14:textFill>
        </w:rPr>
      </w:pPr>
    </w:p>
    <w:p w14:paraId="7F69E567">
      <w:pPr>
        <w:rPr>
          <w:rFonts w:cs="宋体"/>
          <w:bCs/>
          <w:color w:val="000000" w:themeColor="text1"/>
          <w:kern w:val="28"/>
          <w:sz w:val="44"/>
          <w:szCs w:val="44"/>
          <w:highlight w:val="none"/>
          <w14:textFill>
            <w14:solidFill>
              <w14:schemeClr w14:val="tx1"/>
            </w14:solidFill>
          </w14:textFill>
        </w:rPr>
      </w:pPr>
    </w:p>
    <w:p w14:paraId="7BB4ED73">
      <w:pPr>
        <w:rPr>
          <w:rFonts w:cs="宋体"/>
          <w:bCs/>
          <w:color w:val="000000" w:themeColor="text1"/>
          <w:kern w:val="28"/>
          <w:sz w:val="44"/>
          <w:szCs w:val="44"/>
          <w:highlight w:val="none"/>
          <w14:textFill>
            <w14:solidFill>
              <w14:schemeClr w14:val="tx1"/>
            </w14:solidFill>
          </w14:textFill>
        </w:rPr>
      </w:pPr>
    </w:p>
    <w:p w14:paraId="35A20DA2">
      <w:pPr>
        <w:rPr>
          <w:rFonts w:cs="宋体"/>
          <w:bCs/>
          <w:color w:val="000000" w:themeColor="text1"/>
          <w:kern w:val="28"/>
          <w:sz w:val="44"/>
          <w:szCs w:val="44"/>
          <w:highlight w:val="none"/>
          <w14:textFill>
            <w14:solidFill>
              <w14:schemeClr w14:val="tx1"/>
            </w14:solidFill>
          </w14:textFill>
        </w:rPr>
      </w:pPr>
      <w:r>
        <w:rPr>
          <w:rFonts w:cs="宋体"/>
          <w:bCs/>
          <w:color w:val="000000" w:themeColor="text1"/>
          <w:kern w:val="28"/>
          <w:sz w:val="44"/>
          <w:szCs w:val="44"/>
          <w:highlight w:val="none"/>
          <w14:textFill>
            <w14:solidFill>
              <w14:schemeClr w14:val="tx1"/>
            </w14:solidFill>
          </w14:textFill>
        </w:rPr>
        <w:br w:type="page"/>
      </w:r>
    </w:p>
    <w:p w14:paraId="69A6CF85">
      <w:pPr>
        <w:pStyle w:val="10"/>
        <w:rPr>
          <w:highlight w:val="none"/>
        </w:rPr>
      </w:pPr>
    </w:p>
    <w:p w14:paraId="1161C83C">
      <w:pPr>
        <w:pStyle w:val="3"/>
        <w:rPr>
          <w:rFonts w:cs="宋体"/>
          <w:bCs/>
          <w:color w:val="000000" w:themeColor="text1"/>
          <w:kern w:val="28"/>
          <w:sz w:val="44"/>
          <w:szCs w:val="44"/>
          <w:highlight w:val="none"/>
          <w14:textFill>
            <w14:solidFill>
              <w14:schemeClr w14:val="tx1"/>
            </w14:solidFill>
          </w14:textFill>
        </w:rPr>
      </w:pPr>
      <w:r>
        <w:rPr>
          <w:rFonts w:hint="eastAsia" w:cs="宋体"/>
          <w:bCs/>
          <w:color w:val="000000" w:themeColor="text1"/>
          <w:kern w:val="28"/>
          <w:sz w:val="44"/>
          <w:szCs w:val="44"/>
          <w:highlight w:val="none"/>
          <w14:textFill>
            <w14:solidFill>
              <w14:schemeClr w14:val="tx1"/>
            </w14:solidFill>
          </w14:textFill>
        </w:rPr>
        <w:t>第三章  投标文件格式、附件</w:t>
      </w:r>
    </w:p>
    <w:p w14:paraId="7C193B24">
      <w:pPr>
        <w:pStyle w:val="4"/>
        <w:rPr>
          <w:rFonts w:cs="宋体"/>
          <w:bCs/>
          <w:color w:val="000000" w:themeColor="text1"/>
          <w:kern w:val="28"/>
          <w:sz w:val="44"/>
          <w:szCs w:val="44"/>
          <w:highlight w:val="none"/>
          <w14:textFill>
            <w14:solidFill>
              <w14:schemeClr w14:val="tx1"/>
            </w14:solidFill>
          </w14:textFill>
        </w:rPr>
      </w:pPr>
      <w:r>
        <w:rPr>
          <w:rFonts w:hint="eastAsia" w:cs="宋体"/>
          <w:bCs/>
          <w:color w:val="000000" w:themeColor="text1"/>
          <w:kern w:val="28"/>
          <w:sz w:val="44"/>
          <w:szCs w:val="44"/>
          <w:highlight w:val="none"/>
          <w14:textFill>
            <w14:solidFill>
              <w14:schemeClr w14:val="tx1"/>
            </w14:solidFill>
          </w14:textFill>
        </w:rPr>
        <w:br w:type="page"/>
      </w:r>
      <w:r>
        <w:rPr>
          <w:rFonts w:hint="eastAsia" w:cs="宋体"/>
          <w:color w:val="000000" w:themeColor="text1"/>
          <w:sz w:val="32"/>
          <w:szCs w:val="32"/>
          <w:highlight w:val="none"/>
          <w14:textFill>
            <w14:solidFill>
              <w14:schemeClr w14:val="tx1"/>
            </w14:solidFill>
          </w14:textFill>
        </w:rPr>
        <w:t>附件1：开标文件</w:t>
      </w:r>
    </w:p>
    <w:p w14:paraId="31F58BAE">
      <w:pPr>
        <w:pStyle w:val="38"/>
        <w:rPr>
          <w:rFonts w:ascii="宋体" w:hAnsi="宋体" w:eastAsia="宋体" w:cs="宋体"/>
          <w:color w:val="000000" w:themeColor="text1"/>
          <w:highlight w:val="none"/>
          <w:lang w:eastAsia="zh-CN"/>
          <w14:textFill>
            <w14:solidFill>
              <w14:schemeClr w14:val="tx1"/>
            </w14:solidFill>
          </w14:textFill>
        </w:rPr>
      </w:pPr>
    </w:p>
    <w:p w14:paraId="2894CC8C">
      <w:pPr>
        <w:pStyle w:val="38"/>
        <w:rPr>
          <w:rFonts w:ascii="宋体" w:hAnsi="宋体" w:eastAsia="宋体" w:cs="宋体"/>
          <w:color w:val="000000" w:themeColor="text1"/>
          <w:highlight w:val="none"/>
          <w:lang w:eastAsia="zh-CN"/>
          <w14:textFill>
            <w14:solidFill>
              <w14:schemeClr w14:val="tx1"/>
            </w14:solidFill>
          </w14:textFill>
        </w:rPr>
      </w:pPr>
    </w:p>
    <w:p w14:paraId="643B6085">
      <w:pPr>
        <w:pStyle w:val="38"/>
        <w:rPr>
          <w:rFonts w:ascii="宋体" w:hAnsi="宋体" w:eastAsia="宋体" w:cs="宋体"/>
          <w:color w:val="000000" w:themeColor="text1"/>
          <w:highlight w:val="none"/>
          <w:lang w:eastAsia="zh-CN"/>
          <w14:textFill>
            <w14:solidFill>
              <w14:schemeClr w14:val="tx1"/>
            </w14:solidFill>
          </w14:textFill>
        </w:rPr>
      </w:pPr>
    </w:p>
    <w:p w14:paraId="2C24C463">
      <w:pPr>
        <w:jc w:val="center"/>
        <w:rPr>
          <w:rFonts w:ascii="宋体" w:hAnsi="宋体" w:cs="宋体"/>
          <w:color w:val="000000" w:themeColor="text1"/>
          <w:sz w:val="44"/>
          <w:szCs w:val="44"/>
          <w:highlight w:val="none"/>
          <w14:textFill>
            <w14:solidFill>
              <w14:schemeClr w14:val="tx1"/>
            </w14:solidFill>
          </w14:textFill>
        </w:rPr>
      </w:pPr>
      <w:r>
        <w:rPr>
          <w:rFonts w:hint="eastAsia" w:ascii="宋体" w:hAnsi="宋体" w:cs="宋体"/>
          <w:color w:val="000000" w:themeColor="text1"/>
          <w:sz w:val="44"/>
          <w:szCs w:val="44"/>
          <w:highlight w:val="none"/>
          <w:lang w:eastAsia="zh-CN"/>
          <w14:textFill>
            <w14:solidFill>
              <w14:schemeClr w14:val="tx1"/>
            </w14:solidFill>
          </w14:textFill>
        </w:rPr>
        <w:t>食堂管理服务项目</w:t>
      </w:r>
      <w:r>
        <w:rPr>
          <w:rFonts w:hint="eastAsia" w:ascii="宋体" w:hAnsi="宋体" w:cs="宋体"/>
          <w:color w:val="000000" w:themeColor="text1"/>
          <w:sz w:val="44"/>
          <w:szCs w:val="44"/>
          <w:highlight w:val="none"/>
          <w14:textFill>
            <w14:solidFill>
              <w14:schemeClr w14:val="tx1"/>
            </w14:solidFill>
          </w14:textFill>
        </w:rPr>
        <w:t>（唱标信封）</w:t>
      </w:r>
    </w:p>
    <w:p w14:paraId="07B2CA0D">
      <w:pPr>
        <w:jc w:val="center"/>
        <w:rPr>
          <w:rFonts w:ascii="宋体" w:hAnsi="宋体" w:cs="宋体"/>
          <w:color w:val="000000" w:themeColor="text1"/>
          <w:sz w:val="44"/>
          <w:szCs w:val="44"/>
          <w:highlight w:val="none"/>
          <w14:textFill>
            <w14:solidFill>
              <w14:schemeClr w14:val="tx1"/>
            </w14:solidFill>
          </w14:textFill>
        </w:rPr>
      </w:pPr>
    </w:p>
    <w:p w14:paraId="0DE1D288">
      <w:pPr>
        <w:jc w:val="center"/>
        <w:rPr>
          <w:rFonts w:ascii="宋体" w:hAnsi="宋体" w:cs="宋体"/>
          <w:color w:val="000000" w:themeColor="text1"/>
          <w:sz w:val="44"/>
          <w:szCs w:val="44"/>
          <w:highlight w:val="none"/>
          <w14:textFill>
            <w14:solidFill>
              <w14:schemeClr w14:val="tx1"/>
            </w14:solidFill>
          </w14:textFill>
        </w:rPr>
      </w:pPr>
    </w:p>
    <w:p w14:paraId="762123B6">
      <w:pPr>
        <w:jc w:val="center"/>
        <w:rPr>
          <w:rFonts w:ascii="宋体" w:hAnsi="宋体" w:cs="宋体"/>
          <w:color w:val="000000" w:themeColor="text1"/>
          <w:sz w:val="44"/>
          <w:szCs w:val="44"/>
          <w:highlight w:val="none"/>
          <w14:textFill>
            <w14:solidFill>
              <w14:schemeClr w14:val="tx1"/>
            </w14:solidFill>
          </w14:textFill>
        </w:rPr>
      </w:pPr>
    </w:p>
    <w:p w14:paraId="1D7E346B">
      <w:pPr>
        <w:jc w:val="center"/>
        <w:rPr>
          <w:rFonts w:ascii="宋体" w:hAnsi="宋体" w:cs="宋体"/>
          <w:color w:val="000000" w:themeColor="text1"/>
          <w:sz w:val="44"/>
          <w:szCs w:val="44"/>
          <w:highlight w:val="none"/>
          <w14:textFill>
            <w14:solidFill>
              <w14:schemeClr w14:val="tx1"/>
            </w14:solidFill>
          </w14:textFill>
        </w:rPr>
      </w:pPr>
    </w:p>
    <w:p w14:paraId="6B02801F">
      <w:pPr>
        <w:rPr>
          <w:rFonts w:ascii="宋体" w:hAnsi="宋体" w:cs="宋体"/>
          <w:color w:val="000000" w:themeColor="text1"/>
          <w:sz w:val="44"/>
          <w:szCs w:val="44"/>
          <w:highlight w:val="none"/>
          <w14:textFill>
            <w14:solidFill>
              <w14:schemeClr w14:val="tx1"/>
            </w14:solidFill>
          </w14:textFill>
        </w:rPr>
      </w:pPr>
    </w:p>
    <w:p w14:paraId="0848E04C">
      <w:pPr>
        <w:spacing w:line="480" w:lineRule="auto"/>
        <w:ind w:firstLine="1400" w:firstLineChars="500"/>
        <w:rPr>
          <w:rFonts w:ascii="宋体" w:hAnsi="宋体" w:cs="宋体"/>
          <w:color w:val="000000" w:themeColor="text1"/>
          <w:sz w:val="28"/>
          <w:szCs w:val="28"/>
          <w:highlight w:val="none"/>
          <w:u w:val="single"/>
          <w14:textFill>
            <w14:solidFill>
              <w14:schemeClr w14:val="tx1"/>
            </w14:solidFill>
          </w14:textFill>
        </w:rPr>
      </w:pPr>
      <w:r>
        <w:rPr>
          <w:rFonts w:hint="eastAsia" w:ascii="宋体" w:hAnsi="宋体" w:cs="宋体"/>
          <w:color w:val="000000" w:themeColor="text1"/>
          <w:sz w:val="28"/>
          <w:szCs w:val="28"/>
          <w:highlight w:val="none"/>
          <w14:textFill>
            <w14:solidFill>
              <w14:schemeClr w14:val="tx1"/>
            </w14:solidFill>
          </w14:textFill>
        </w:rPr>
        <w:t>项目编号：_____________________________</w:t>
      </w:r>
    </w:p>
    <w:p w14:paraId="11503EE0">
      <w:pPr>
        <w:spacing w:line="480" w:lineRule="auto"/>
        <w:ind w:firstLine="1400" w:firstLineChars="500"/>
        <w:rPr>
          <w:rFonts w:ascii="宋体" w:hAnsi="宋体" w:cs="宋体"/>
          <w:color w:val="000000" w:themeColor="text1"/>
          <w:sz w:val="28"/>
          <w:szCs w:val="28"/>
          <w:highlight w:val="none"/>
          <w:u w:val="single"/>
          <w14:textFill>
            <w14:solidFill>
              <w14:schemeClr w14:val="tx1"/>
            </w14:solidFill>
          </w14:textFill>
        </w:rPr>
      </w:pPr>
      <w:r>
        <w:rPr>
          <w:rFonts w:hint="eastAsia" w:ascii="宋体" w:hAnsi="宋体" w:cs="宋体"/>
          <w:color w:val="000000" w:themeColor="text1"/>
          <w:sz w:val="28"/>
          <w:szCs w:val="28"/>
          <w:highlight w:val="none"/>
          <w14:textFill>
            <w14:solidFill>
              <w14:schemeClr w14:val="tx1"/>
            </w14:solidFill>
          </w14:textFill>
        </w:rPr>
        <w:t>供应商（盖章）：___________________________</w:t>
      </w:r>
    </w:p>
    <w:p w14:paraId="29BD24B4">
      <w:pPr>
        <w:spacing w:line="480" w:lineRule="auto"/>
        <w:ind w:firstLine="1400" w:firstLineChars="500"/>
        <w:rPr>
          <w:rFonts w:ascii="宋体" w:hAnsi="宋体" w:cs="宋体"/>
          <w:color w:val="000000" w:themeColor="text1"/>
          <w:sz w:val="28"/>
          <w:szCs w:val="28"/>
          <w:highlight w:val="none"/>
          <w14:textFill>
            <w14:solidFill>
              <w14:schemeClr w14:val="tx1"/>
            </w14:solidFill>
          </w14:textFill>
        </w:rPr>
      </w:pPr>
      <w:r>
        <w:rPr>
          <w:rFonts w:hint="eastAsia" w:ascii="宋体" w:hAnsi="宋体" w:cs="宋体"/>
          <w:color w:val="000000" w:themeColor="text1"/>
          <w:sz w:val="28"/>
          <w:szCs w:val="28"/>
          <w:highlight w:val="none"/>
          <w14:textFill>
            <w14:solidFill>
              <w14:schemeClr w14:val="tx1"/>
            </w14:solidFill>
          </w14:textFill>
        </w:rPr>
        <w:t>法定代表人或授权委托人签字：__________________</w:t>
      </w:r>
    </w:p>
    <w:p w14:paraId="1DAEDE71">
      <w:pPr>
        <w:spacing w:line="360" w:lineRule="auto"/>
        <w:ind w:firstLine="1400" w:firstLineChars="500"/>
        <w:rPr>
          <w:rFonts w:ascii="宋体" w:hAnsi="宋体" w:cs="宋体"/>
          <w:color w:val="000000" w:themeColor="text1"/>
          <w:sz w:val="28"/>
          <w:szCs w:val="28"/>
          <w:highlight w:val="none"/>
          <w14:textFill>
            <w14:solidFill>
              <w14:schemeClr w14:val="tx1"/>
            </w14:solidFill>
          </w14:textFill>
        </w:rPr>
      </w:pPr>
      <w:r>
        <w:rPr>
          <w:rFonts w:hint="eastAsia" w:ascii="宋体" w:hAnsi="宋体" w:cs="宋体"/>
          <w:color w:val="000000" w:themeColor="text1"/>
          <w:sz w:val="28"/>
          <w:szCs w:val="28"/>
          <w:highlight w:val="none"/>
          <w14:textFill>
            <w14:solidFill>
              <w14:schemeClr w14:val="tx1"/>
            </w14:solidFill>
          </w14:textFill>
        </w:rPr>
        <w:t>投标日期：____________年_____月______日</w:t>
      </w:r>
    </w:p>
    <w:p w14:paraId="5594BECF">
      <w:pPr>
        <w:spacing w:line="360" w:lineRule="auto"/>
        <w:ind w:firstLine="1400" w:firstLineChars="500"/>
        <w:rPr>
          <w:rFonts w:ascii="宋体" w:hAnsi="宋体" w:cs="宋体"/>
          <w:color w:val="000000" w:themeColor="text1"/>
          <w:sz w:val="28"/>
          <w:szCs w:val="28"/>
          <w:highlight w:val="none"/>
          <w14:textFill>
            <w14:solidFill>
              <w14:schemeClr w14:val="tx1"/>
            </w14:solidFill>
          </w14:textFill>
        </w:rPr>
      </w:pPr>
    </w:p>
    <w:p w14:paraId="62EEDE51">
      <w:pPr>
        <w:spacing w:line="360" w:lineRule="auto"/>
        <w:ind w:firstLine="1400" w:firstLineChars="500"/>
        <w:rPr>
          <w:rFonts w:ascii="宋体" w:hAnsi="宋体" w:cs="宋体"/>
          <w:color w:val="000000" w:themeColor="text1"/>
          <w:sz w:val="28"/>
          <w:szCs w:val="28"/>
          <w:highlight w:val="none"/>
          <w14:textFill>
            <w14:solidFill>
              <w14:schemeClr w14:val="tx1"/>
            </w14:solidFill>
          </w14:textFill>
        </w:rPr>
      </w:pPr>
    </w:p>
    <w:p w14:paraId="0B1313D5">
      <w:pPr>
        <w:spacing w:line="360" w:lineRule="auto"/>
        <w:ind w:firstLine="1400" w:firstLineChars="500"/>
        <w:rPr>
          <w:rFonts w:ascii="宋体" w:hAnsi="宋体" w:cs="宋体"/>
          <w:color w:val="000000" w:themeColor="text1"/>
          <w:sz w:val="28"/>
          <w:szCs w:val="28"/>
          <w:highlight w:val="none"/>
          <w14:textFill>
            <w14:solidFill>
              <w14:schemeClr w14:val="tx1"/>
            </w14:solidFill>
          </w14:textFill>
        </w:rPr>
      </w:pPr>
    </w:p>
    <w:p w14:paraId="0B87454E">
      <w:pPr>
        <w:pStyle w:val="22"/>
        <w:ind w:left="0" w:leftChars="0" w:firstLine="0" w:firstLineChars="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br w:type="page"/>
      </w:r>
    </w:p>
    <w:p w14:paraId="04DCEA22">
      <w:pPr>
        <w:pStyle w:val="5"/>
        <w:spacing w:before="120" w:after="120"/>
        <w:jc w:val="center"/>
        <w:rPr>
          <w:rFonts w:cs="宋体"/>
          <w:b/>
          <w:bCs/>
          <w:snapToGrid w:val="0"/>
          <w:color w:val="000000" w:themeColor="text1"/>
          <w:sz w:val="32"/>
          <w:highlight w:val="none"/>
          <w14:textFill>
            <w14:solidFill>
              <w14:schemeClr w14:val="tx1"/>
            </w14:solidFill>
          </w14:textFill>
        </w:rPr>
      </w:pPr>
      <w:r>
        <w:rPr>
          <w:rFonts w:hint="eastAsia" w:cs="宋体"/>
          <w:b/>
          <w:bCs/>
          <w:color w:val="000000" w:themeColor="text1"/>
          <w:sz w:val="32"/>
          <w:highlight w:val="none"/>
          <w14:textFill>
            <w14:solidFill>
              <w14:schemeClr w14:val="tx1"/>
            </w14:solidFill>
          </w14:textFill>
        </w:rPr>
        <w:t>一、开标一览表</w:t>
      </w:r>
    </w:p>
    <w:p w14:paraId="65823DF7">
      <w:pPr>
        <w:spacing w:line="360" w:lineRule="auto"/>
        <w:ind w:right="525"/>
        <w:rPr>
          <w:rFonts w:ascii="宋体" w:hAnsi="宋体" w:cs="宋体"/>
          <w:bCs/>
          <w:snapToGrid w:val="0"/>
          <w:color w:val="000000" w:themeColor="text1"/>
          <w:kern w:val="0"/>
          <w:sz w:val="22"/>
          <w:szCs w:val="22"/>
          <w:highlight w:val="none"/>
          <w14:textFill>
            <w14:solidFill>
              <w14:schemeClr w14:val="tx1"/>
            </w14:solidFill>
          </w14:textFill>
        </w:rPr>
      </w:pPr>
    </w:p>
    <w:tbl>
      <w:tblPr>
        <w:tblStyle w:val="2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66"/>
        <w:gridCol w:w="1957"/>
        <w:gridCol w:w="2503"/>
      </w:tblGrid>
      <w:tr w14:paraId="114FD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trPr>
        <w:tc>
          <w:tcPr>
            <w:tcW w:w="1244" w:type="pct"/>
            <w:vAlign w:val="center"/>
          </w:tcPr>
          <w:p w14:paraId="3AE52909">
            <w:pPr>
              <w:spacing w:line="360" w:lineRule="auto"/>
              <w:jc w:val="center"/>
              <w:rPr>
                <w:rFonts w:ascii="宋体" w:hAnsi="宋体" w:cs="宋体"/>
                <w:snapToGrid w:val="0"/>
                <w:color w:val="000000" w:themeColor="text1"/>
                <w:kern w:val="0"/>
                <w:sz w:val="22"/>
                <w:szCs w:val="22"/>
                <w:highlight w:val="none"/>
                <w14:textFill>
                  <w14:solidFill>
                    <w14:schemeClr w14:val="tx1"/>
                  </w14:solidFill>
                </w14:textFill>
              </w:rPr>
            </w:pPr>
            <w:r>
              <w:rPr>
                <w:rFonts w:hint="eastAsia" w:ascii="宋体" w:hAnsi="宋体" w:cs="宋体"/>
                <w:bCs/>
                <w:snapToGrid w:val="0"/>
                <w:color w:val="000000" w:themeColor="text1"/>
                <w:kern w:val="0"/>
                <w:sz w:val="22"/>
                <w:szCs w:val="22"/>
                <w:highlight w:val="none"/>
                <w14:textFill>
                  <w14:solidFill>
                    <w14:schemeClr w14:val="tx1"/>
                  </w14:solidFill>
                </w14:textFill>
              </w:rPr>
              <w:t>项目编号</w:t>
            </w:r>
          </w:p>
        </w:tc>
        <w:tc>
          <w:tcPr>
            <w:tcW w:w="1718" w:type="pct"/>
            <w:vAlign w:val="center"/>
          </w:tcPr>
          <w:p w14:paraId="581B99DE">
            <w:pPr>
              <w:spacing w:line="360" w:lineRule="auto"/>
              <w:jc w:val="center"/>
              <w:rPr>
                <w:rFonts w:ascii="宋体" w:hAnsi="宋体" w:cs="宋体"/>
                <w:snapToGrid w:val="0"/>
                <w:color w:val="000000" w:themeColor="text1"/>
                <w:kern w:val="0"/>
                <w:sz w:val="22"/>
                <w:szCs w:val="22"/>
                <w:highlight w:val="none"/>
                <w14:textFill>
                  <w14:solidFill>
                    <w14:schemeClr w14:val="tx1"/>
                  </w14:solidFill>
                </w14:textFill>
              </w:rPr>
            </w:pPr>
            <w:r>
              <w:rPr>
                <w:rFonts w:hint="eastAsia" w:ascii="宋体" w:hAnsi="宋体" w:cs="宋体"/>
                <w:snapToGrid w:val="0"/>
                <w:color w:val="000000" w:themeColor="text1"/>
                <w:kern w:val="0"/>
                <w:sz w:val="22"/>
                <w:szCs w:val="22"/>
                <w:highlight w:val="none"/>
                <w14:textFill>
                  <w14:solidFill>
                    <w14:schemeClr w14:val="tx1"/>
                  </w14:solidFill>
                </w14:textFill>
              </w:rPr>
              <w:t>项目名称</w:t>
            </w:r>
          </w:p>
        </w:tc>
        <w:tc>
          <w:tcPr>
            <w:tcW w:w="3667" w:type="dxa"/>
            <w:vAlign w:val="center"/>
          </w:tcPr>
          <w:p w14:paraId="03A356C0">
            <w:pPr>
              <w:spacing w:line="360" w:lineRule="exact"/>
              <w:jc w:val="center"/>
              <w:rPr>
                <w:rFonts w:ascii="宋体" w:hAnsi="宋体" w:cs="宋体"/>
                <w:snapToGrid w:val="0"/>
                <w:color w:val="000000" w:themeColor="text1"/>
                <w:kern w:val="0"/>
                <w:sz w:val="22"/>
                <w:szCs w:val="22"/>
                <w:highlight w:val="none"/>
                <w14:textFill>
                  <w14:solidFill>
                    <w14:schemeClr w14:val="tx1"/>
                  </w14:solidFill>
                </w14:textFill>
              </w:rPr>
            </w:pPr>
            <w:r>
              <w:rPr>
                <w:rFonts w:hint="eastAsia" w:ascii="宋体" w:hAnsi="宋体" w:cs="宋体"/>
                <w:snapToGrid w:val="0"/>
                <w:color w:val="000000" w:themeColor="text1"/>
                <w:kern w:val="0"/>
                <w:sz w:val="22"/>
                <w:szCs w:val="22"/>
                <w:highlight w:val="none"/>
                <w14:textFill>
                  <w14:solidFill>
                    <w14:schemeClr w14:val="tx1"/>
                  </w14:solidFill>
                </w14:textFill>
              </w:rPr>
              <w:t>投标报价（元）</w:t>
            </w:r>
          </w:p>
        </w:tc>
      </w:tr>
      <w:tr w14:paraId="5A29B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8" w:hRule="atLeast"/>
        </w:trPr>
        <w:tc>
          <w:tcPr>
            <w:tcW w:w="1244" w:type="pct"/>
            <w:vAlign w:val="center"/>
          </w:tcPr>
          <w:p w14:paraId="7D72F5BB">
            <w:pPr>
              <w:spacing w:line="360" w:lineRule="auto"/>
              <w:jc w:val="center"/>
              <w:rPr>
                <w:rFonts w:hint="eastAsia" w:ascii="宋体" w:hAnsi="宋体" w:eastAsia="宋体" w:cs="宋体"/>
                <w:snapToGrid w:val="0"/>
                <w:color w:val="000000" w:themeColor="text1"/>
                <w:kern w:val="0"/>
                <w:sz w:val="22"/>
                <w:szCs w:val="22"/>
                <w:highlight w:val="none"/>
                <w:lang w:eastAsia="zh-CN"/>
                <w14:textFill>
                  <w14:solidFill>
                    <w14:schemeClr w14:val="tx1"/>
                  </w14:solidFill>
                </w14:textFill>
              </w:rPr>
            </w:pPr>
            <w:r>
              <w:rPr>
                <w:rFonts w:hint="eastAsia" w:ascii="宋体" w:hAnsi="宋体" w:cs="宋体"/>
                <w:snapToGrid w:val="0"/>
                <w:color w:val="000000" w:themeColor="text1"/>
                <w:kern w:val="0"/>
                <w:sz w:val="22"/>
                <w:szCs w:val="22"/>
                <w:highlight w:val="none"/>
                <w:lang w:eastAsia="zh-CN"/>
                <w14:textFill>
                  <w14:solidFill>
                    <w14:schemeClr w14:val="tx1"/>
                  </w14:solidFill>
                </w14:textFill>
              </w:rPr>
              <w:t>3324-DH2532F4114(BAZXDL-2025-00411)</w:t>
            </w:r>
          </w:p>
        </w:tc>
        <w:tc>
          <w:tcPr>
            <w:tcW w:w="1718" w:type="pct"/>
            <w:vAlign w:val="center"/>
          </w:tcPr>
          <w:p w14:paraId="3561A2B4">
            <w:pPr>
              <w:widowControl/>
              <w:spacing w:line="360" w:lineRule="auto"/>
              <w:jc w:val="center"/>
              <w:rPr>
                <w:rFonts w:ascii="宋体" w:hAnsi="宋体" w:cs="宋体"/>
                <w:color w:val="000000" w:themeColor="text1"/>
                <w:kern w:val="0"/>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食堂管理服务项目</w:t>
            </w:r>
          </w:p>
        </w:tc>
        <w:tc>
          <w:tcPr>
            <w:tcW w:w="3667" w:type="dxa"/>
            <w:vAlign w:val="center"/>
          </w:tcPr>
          <w:p w14:paraId="5A360173">
            <w:pPr>
              <w:spacing w:line="360" w:lineRule="exact"/>
              <w:rPr>
                <w:snapToGrid w:val="0"/>
                <w:color w:val="000000" w:themeColor="text1"/>
                <w:kern w:val="0"/>
                <w:sz w:val="22"/>
                <w:highlight w:val="none"/>
                <w14:textFill>
                  <w14:solidFill>
                    <w14:schemeClr w14:val="tx1"/>
                  </w14:solidFill>
                </w14:textFill>
              </w:rPr>
            </w:pPr>
            <w:r>
              <w:rPr>
                <w:snapToGrid w:val="0"/>
                <w:color w:val="000000" w:themeColor="text1"/>
                <w:kern w:val="0"/>
                <w:sz w:val="22"/>
                <w:highlight w:val="none"/>
                <w14:textFill>
                  <w14:solidFill>
                    <w14:schemeClr w14:val="tx1"/>
                  </w14:solidFill>
                </w14:textFill>
              </w:rPr>
              <w:t>大写：</w:t>
            </w:r>
          </w:p>
          <w:p w14:paraId="1BD3F472">
            <w:pPr>
              <w:spacing w:line="360" w:lineRule="exact"/>
              <w:rPr>
                <w:rFonts w:ascii="宋体" w:hAnsi="宋体" w:cs="宋体"/>
                <w:snapToGrid w:val="0"/>
                <w:color w:val="000000" w:themeColor="text1"/>
                <w:kern w:val="0"/>
                <w:sz w:val="22"/>
                <w:szCs w:val="22"/>
                <w:highlight w:val="none"/>
                <w14:textFill>
                  <w14:solidFill>
                    <w14:schemeClr w14:val="tx1"/>
                  </w14:solidFill>
                </w14:textFill>
              </w:rPr>
            </w:pPr>
            <w:r>
              <w:rPr>
                <w:snapToGrid w:val="0"/>
                <w:color w:val="000000" w:themeColor="text1"/>
                <w:kern w:val="0"/>
                <w:sz w:val="22"/>
                <w:highlight w:val="none"/>
                <w14:textFill>
                  <w14:solidFill>
                    <w14:schemeClr w14:val="tx1"/>
                  </w14:solidFill>
                </w14:textFill>
              </w:rPr>
              <w:t>小写：</w:t>
            </w:r>
          </w:p>
        </w:tc>
      </w:tr>
    </w:tbl>
    <w:p w14:paraId="638AA4C2">
      <w:pPr>
        <w:spacing w:line="360" w:lineRule="auto"/>
        <w:rPr>
          <w:rFonts w:ascii="宋体" w:hAnsi="宋体" w:cs="宋体"/>
          <w:snapToGrid w:val="0"/>
          <w:color w:val="000000" w:themeColor="text1"/>
          <w:kern w:val="0"/>
          <w:sz w:val="22"/>
          <w:szCs w:val="22"/>
          <w:highlight w:val="none"/>
          <w14:textFill>
            <w14:solidFill>
              <w14:schemeClr w14:val="tx1"/>
            </w14:solidFill>
          </w14:textFill>
        </w:rPr>
      </w:pPr>
    </w:p>
    <w:p w14:paraId="1AEE2FE8">
      <w:pPr>
        <w:spacing w:line="360" w:lineRule="exact"/>
        <w:rPr>
          <w:snapToGrid w:val="0"/>
          <w:color w:val="000000" w:themeColor="text1"/>
          <w:kern w:val="0"/>
          <w:sz w:val="22"/>
          <w:highlight w:val="none"/>
          <w14:textFill>
            <w14:solidFill>
              <w14:schemeClr w14:val="tx1"/>
            </w14:solidFill>
          </w14:textFill>
        </w:rPr>
      </w:pPr>
      <w:r>
        <w:rPr>
          <w:rFonts w:hint="eastAsia" w:ascii="宋体" w:hAnsi="宋体" w:cs="宋体"/>
          <w:snapToGrid w:val="0"/>
          <w:color w:val="000000" w:themeColor="text1"/>
          <w:kern w:val="0"/>
          <w:sz w:val="22"/>
          <w:szCs w:val="22"/>
          <w:highlight w:val="none"/>
          <w14:textFill>
            <w14:solidFill>
              <w14:schemeClr w14:val="tx1"/>
            </w14:solidFill>
          </w14:textFill>
        </w:rPr>
        <w:t>注：</w:t>
      </w:r>
      <w:r>
        <w:rPr>
          <w:snapToGrid w:val="0"/>
          <w:color w:val="000000" w:themeColor="text1"/>
          <w:kern w:val="0"/>
          <w:sz w:val="22"/>
          <w:highlight w:val="none"/>
          <w14:textFill>
            <w14:solidFill>
              <w14:schemeClr w14:val="tx1"/>
            </w14:solidFill>
          </w14:textFill>
        </w:rPr>
        <w:t>此表应与</w:t>
      </w:r>
      <w:r>
        <w:rPr>
          <w:rFonts w:hint="eastAsia"/>
          <w:snapToGrid w:val="0"/>
          <w:color w:val="000000" w:themeColor="text1"/>
          <w:kern w:val="0"/>
          <w:sz w:val="22"/>
          <w:highlight w:val="none"/>
          <w14:textFill>
            <w14:solidFill>
              <w14:schemeClr w14:val="tx1"/>
            </w14:solidFill>
          </w14:textFill>
        </w:rPr>
        <w:t>法定代表人证明书、法定代表人授权书</w:t>
      </w:r>
      <w:r>
        <w:rPr>
          <w:snapToGrid w:val="0"/>
          <w:color w:val="000000" w:themeColor="text1"/>
          <w:kern w:val="0"/>
          <w:sz w:val="22"/>
          <w:highlight w:val="none"/>
          <w14:textFill>
            <w14:solidFill>
              <w14:schemeClr w14:val="tx1"/>
            </w14:solidFill>
          </w14:textFill>
        </w:rPr>
        <w:t>一同密封单独提交。</w:t>
      </w:r>
    </w:p>
    <w:p w14:paraId="122F550D">
      <w:pPr>
        <w:spacing w:line="360" w:lineRule="auto"/>
        <w:ind w:right="2100" w:rightChars="1000"/>
        <w:jc w:val="right"/>
        <w:rPr>
          <w:rFonts w:ascii="宋体" w:hAnsi="宋体" w:cs="宋体"/>
          <w:snapToGrid w:val="0"/>
          <w:color w:val="000000" w:themeColor="text1"/>
          <w:kern w:val="0"/>
          <w:sz w:val="22"/>
          <w:szCs w:val="22"/>
          <w:highlight w:val="none"/>
          <w14:textFill>
            <w14:solidFill>
              <w14:schemeClr w14:val="tx1"/>
            </w14:solidFill>
          </w14:textFill>
        </w:rPr>
      </w:pPr>
    </w:p>
    <w:p w14:paraId="6188C8B0">
      <w:pPr>
        <w:spacing w:line="360" w:lineRule="auto"/>
        <w:ind w:right="2100" w:rightChars="1000"/>
        <w:jc w:val="left"/>
        <w:rPr>
          <w:rFonts w:ascii="宋体" w:hAnsi="宋体" w:cs="宋体"/>
          <w:snapToGrid w:val="0"/>
          <w:color w:val="000000" w:themeColor="text1"/>
          <w:kern w:val="0"/>
          <w:sz w:val="22"/>
          <w:szCs w:val="22"/>
          <w:highlight w:val="none"/>
          <w14:textFill>
            <w14:solidFill>
              <w14:schemeClr w14:val="tx1"/>
            </w14:solidFill>
          </w14:textFill>
        </w:rPr>
      </w:pPr>
      <w:r>
        <w:rPr>
          <w:rFonts w:hint="eastAsia" w:ascii="宋体" w:hAnsi="宋体" w:cs="宋体"/>
          <w:snapToGrid w:val="0"/>
          <w:color w:val="000000" w:themeColor="text1"/>
          <w:kern w:val="0"/>
          <w:sz w:val="22"/>
          <w:szCs w:val="22"/>
          <w:highlight w:val="none"/>
          <w:lang w:val="zh-CN"/>
          <w14:textFill>
            <w14:solidFill>
              <w14:schemeClr w14:val="tx1"/>
            </w14:solidFill>
          </w14:textFill>
        </w:rPr>
        <w:t>法定代表人（</w:t>
      </w:r>
      <w:r>
        <w:rPr>
          <w:rFonts w:hint="eastAsia" w:ascii="宋体" w:hAnsi="宋体" w:cs="宋体"/>
          <w:snapToGrid w:val="0"/>
          <w:color w:val="000000" w:themeColor="text1"/>
          <w:kern w:val="0"/>
          <w:sz w:val="22"/>
          <w:szCs w:val="22"/>
          <w:highlight w:val="none"/>
          <w14:textFill>
            <w14:solidFill>
              <w14:schemeClr w14:val="tx1"/>
            </w14:solidFill>
          </w14:textFill>
        </w:rPr>
        <w:t>单位负责人</w:t>
      </w:r>
      <w:r>
        <w:rPr>
          <w:rFonts w:hint="eastAsia" w:ascii="宋体" w:hAnsi="宋体" w:cs="宋体"/>
          <w:snapToGrid w:val="0"/>
          <w:color w:val="000000" w:themeColor="text1"/>
          <w:kern w:val="0"/>
          <w:sz w:val="22"/>
          <w:szCs w:val="22"/>
          <w:highlight w:val="none"/>
          <w:lang w:val="zh-CN"/>
          <w14:textFill>
            <w14:solidFill>
              <w14:schemeClr w14:val="tx1"/>
            </w14:solidFill>
          </w14:textFill>
        </w:rPr>
        <w:t>）或其授权代表（签字</w:t>
      </w:r>
      <w:r>
        <w:rPr>
          <w:rFonts w:hint="eastAsia" w:ascii="宋体" w:hAnsi="宋体" w:cs="宋体"/>
          <w:snapToGrid w:val="0"/>
          <w:color w:val="000000" w:themeColor="text1"/>
          <w:kern w:val="0"/>
          <w:sz w:val="22"/>
          <w:szCs w:val="22"/>
          <w:highlight w:val="none"/>
          <w14:textFill>
            <w14:solidFill>
              <w14:schemeClr w14:val="tx1"/>
            </w14:solidFill>
          </w14:textFill>
        </w:rPr>
        <w:t>或盖章</w:t>
      </w:r>
      <w:r>
        <w:rPr>
          <w:rFonts w:hint="eastAsia" w:ascii="宋体" w:hAnsi="宋体" w:cs="宋体"/>
          <w:snapToGrid w:val="0"/>
          <w:color w:val="000000" w:themeColor="text1"/>
          <w:kern w:val="0"/>
          <w:sz w:val="22"/>
          <w:szCs w:val="22"/>
          <w:highlight w:val="none"/>
          <w:lang w:val="zh-CN"/>
          <w14:textFill>
            <w14:solidFill>
              <w14:schemeClr w14:val="tx1"/>
            </w14:solidFill>
          </w14:textFill>
        </w:rPr>
        <w:t>）</w:t>
      </w:r>
      <w:r>
        <w:rPr>
          <w:rFonts w:hint="eastAsia" w:ascii="宋体" w:hAnsi="宋体" w:cs="宋体"/>
          <w:snapToGrid w:val="0"/>
          <w:color w:val="000000" w:themeColor="text1"/>
          <w:kern w:val="0"/>
          <w:sz w:val="22"/>
          <w:szCs w:val="22"/>
          <w:highlight w:val="none"/>
          <w14:textFill>
            <w14:solidFill>
              <w14:schemeClr w14:val="tx1"/>
            </w14:solidFill>
          </w14:textFill>
        </w:rPr>
        <w:t xml:space="preserve">：                   </w:t>
      </w:r>
    </w:p>
    <w:p w14:paraId="3A5A7369">
      <w:pPr>
        <w:spacing w:line="360" w:lineRule="auto"/>
        <w:ind w:right="2100" w:rightChars="1000"/>
        <w:jc w:val="left"/>
        <w:rPr>
          <w:rFonts w:ascii="宋体" w:hAnsi="宋体" w:cs="宋体"/>
          <w:snapToGrid w:val="0"/>
          <w:color w:val="000000" w:themeColor="text1"/>
          <w:kern w:val="0"/>
          <w:sz w:val="22"/>
          <w:szCs w:val="22"/>
          <w:highlight w:val="none"/>
          <w14:textFill>
            <w14:solidFill>
              <w14:schemeClr w14:val="tx1"/>
            </w14:solidFill>
          </w14:textFill>
        </w:rPr>
      </w:pPr>
      <w:r>
        <w:rPr>
          <w:rFonts w:hint="eastAsia" w:ascii="宋体" w:hAnsi="宋体" w:cs="宋体"/>
          <w:snapToGrid w:val="0"/>
          <w:color w:val="000000" w:themeColor="text1"/>
          <w:kern w:val="0"/>
          <w:sz w:val="22"/>
          <w:szCs w:val="22"/>
          <w:highlight w:val="none"/>
          <w14:textFill>
            <w14:solidFill>
              <w14:schemeClr w14:val="tx1"/>
            </w14:solidFill>
          </w14:textFill>
        </w:rPr>
        <w:t xml:space="preserve">投标人名称（盖章）：                        </w:t>
      </w:r>
    </w:p>
    <w:p w14:paraId="2918AB85">
      <w:pPr>
        <w:spacing w:line="360" w:lineRule="auto"/>
        <w:ind w:right="2100" w:rightChars="1000"/>
        <w:jc w:val="left"/>
        <w:rPr>
          <w:rFonts w:ascii="宋体" w:hAnsi="宋体" w:cs="宋体"/>
          <w:snapToGrid w:val="0"/>
          <w:color w:val="000000" w:themeColor="text1"/>
          <w:kern w:val="0"/>
          <w:sz w:val="22"/>
          <w:szCs w:val="22"/>
          <w:highlight w:val="none"/>
          <w14:textFill>
            <w14:solidFill>
              <w14:schemeClr w14:val="tx1"/>
            </w14:solidFill>
          </w14:textFill>
        </w:rPr>
      </w:pPr>
      <w:r>
        <w:rPr>
          <w:rFonts w:hint="eastAsia" w:ascii="宋体" w:hAnsi="宋体" w:cs="宋体"/>
          <w:snapToGrid w:val="0"/>
          <w:color w:val="000000" w:themeColor="text1"/>
          <w:kern w:val="0"/>
          <w:sz w:val="22"/>
          <w:szCs w:val="22"/>
          <w:highlight w:val="none"/>
          <w14:textFill>
            <w14:solidFill>
              <w14:schemeClr w14:val="tx1"/>
            </w14:solidFill>
          </w14:textFill>
        </w:rPr>
        <w:t>日期：   年   月   日</w:t>
      </w:r>
    </w:p>
    <w:p w14:paraId="5322DB18">
      <w:pPr>
        <w:spacing w:line="360" w:lineRule="exact"/>
        <w:ind w:right="2100" w:rightChars="1000"/>
        <w:jc w:val="left"/>
        <w:rPr>
          <w:rFonts w:ascii="宋体" w:hAnsi="宋体" w:cs="宋体"/>
          <w:snapToGrid w:val="0"/>
          <w:color w:val="000000" w:themeColor="text1"/>
          <w:kern w:val="0"/>
          <w:highlight w:val="none"/>
          <w14:textFill>
            <w14:solidFill>
              <w14:schemeClr w14:val="tx1"/>
            </w14:solidFill>
          </w14:textFill>
        </w:rPr>
      </w:pPr>
    </w:p>
    <w:p w14:paraId="5AC88424">
      <w:pPr>
        <w:pStyle w:val="22"/>
        <w:rPr>
          <w:rFonts w:ascii="宋体" w:hAnsi="宋体" w:cs="宋体"/>
          <w:snapToGrid w:val="0"/>
          <w:color w:val="000000" w:themeColor="text1"/>
          <w:kern w:val="0"/>
          <w:highlight w:val="none"/>
          <w14:textFill>
            <w14:solidFill>
              <w14:schemeClr w14:val="tx1"/>
            </w14:solidFill>
          </w14:textFill>
        </w:rPr>
      </w:pPr>
    </w:p>
    <w:p w14:paraId="55021AC1">
      <w:pPr>
        <w:pStyle w:val="22"/>
        <w:rPr>
          <w:rFonts w:ascii="宋体" w:hAnsi="宋体" w:cs="宋体"/>
          <w:snapToGrid w:val="0"/>
          <w:color w:val="000000" w:themeColor="text1"/>
          <w:kern w:val="0"/>
          <w:highlight w:val="none"/>
          <w14:textFill>
            <w14:solidFill>
              <w14:schemeClr w14:val="tx1"/>
            </w14:solidFill>
          </w14:textFill>
        </w:rPr>
      </w:pPr>
    </w:p>
    <w:p w14:paraId="58FD754B">
      <w:pPr>
        <w:rPr>
          <w:color w:val="000000" w:themeColor="text1"/>
          <w:highlight w:val="none"/>
          <w14:textFill>
            <w14:solidFill>
              <w14:schemeClr w14:val="tx1"/>
            </w14:solidFill>
          </w14:textFill>
        </w:rPr>
      </w:pPr>
    </w:p>
    <w:p w14:paraId="1966BADE">
      <w:pPr>
        <w:rPr>
          <w:color w:val="000000" w:themeColor="text1"/>
          <w:highlight w:val="none"/>
          <w14:textFill>
            <w14:solidFill>
              <w14:schemeClr w14:val="tx1"/>
            </w14:solidFill>
          </w14:textFill>
        </w:rPr>
      </w:pPr>
    </w:p>
    <w:p w14:paraId="54506AB3">
      <w:pPr>
        <w:rPr>
          <w:color w:val="000000" w:themeColor="text1"/>
          <w:highlight w:val="none"/>
          <w14:textFill>
            <w14:solidFill>
              <w14:schemeClr w14:val="tx1"/>
            </w14:solidFill>
          </w14:textFill>
        </w:rPr>
      </w:pPr>
    </w:p>
    <w:p w14:paraId="3E2A0272">
      <w:pPr>
        <w:rPr>
          <w:color w:val="000000" w:themeColor="text1"/>
          <w:highlight w:val="none"/>
          <w14:textFill>
            <w14:solidFill>
              <w14:schemeClr w14:val="tx1"/>
            </w14:solidFill>
          </w14:textFill>
        </w:rPr>
      </w:pPr>
    </w:p>
    <w:p w14:paraId="2138AE34">
      <w:pPr>
        <w:rPr>
          <w:color w:val="000000" w:themeColor="text1"/>
          <w:highlight w:val="none"/>
          <w14:textFill>
            <w14:solidFill>
              <w14:schemeClr w14:val="tx1"/>
            </w14:solidFill>
          </w14:textFill>
        </w:rPr>
      </w:pPr>
    </w:p>
    <w:p w14:paraId="72249AE4">
      <w:pPr>
        <w:rPr>
          <w:color w:val="000000" w:themeColor="text1"/>
          <w:highlight w:val="none"/>
          <w14:textFill>
            <w14:solidFill>
              <w14:schemeClr w14:val="tx1"/>
            </w14:solidFill>
          </w14:textFill>
        </w:rPr>
      </w:pPr>
    </w:p>
    <w:p w14:paraId="6C88ACD9">
      <w:pPr>
        <w:rPr>
          <w:color w:val="000000" w:themeColor="text1"/>
          <w:highlight w:val="none"/>
          <w14:textFill>
            <w14:solidFill>
              <w14:schemeClr w14:val="tx1"/>
            </w14:solidFill>
          </w14:textFill>
        </w:rPr>
      </w:pPr>
    </w:p>
    <w:p w14:paraId="00C3BA68">
      <w:pPr>
        <w:rPr>
          <w:color w:val="000000" w:themeColor="text1"/>
          <w:highlight w:val="none"/>
          <w14:textFill>
            <w14:solidFill>
              <w14:schemeClr w14:val="tx1"/>
            </w14:solidFill>
          </w14:textFill>
        </w:rPr>
      </w:pPr>
    </w:p>
    <w:p w14:paraId="5D4804E5">
      <w:pPr>
        <w:rPr>
          <w:color w:val="000000" w:themeColor="text1"/>
          <w:highlight w:val="none"/>
          <w14:textFill>
            <w14:solidFill>
              <w14:schemeClr w14:val="tx1"/>
            </w14:solidFill>
          </w14:textFill>
        </w:rPr>
      </w:pPr>
    </w:p>
    <w:p w14:paraId="4D527A39">
      <w:pPr>
        <w:rPr>
          <w:color w:val="000000" w:themeColor="text1"/>
          <w:highlight w:val="none"/>
          <w14:textFill>
            <w14:solidFill>
              <w14:schemeClr w14:val="tx1"/>
            </w14:solidFill>
          </w14:textFill>
        </w:rPr>
      </w:pPr>
    </w:p>
    <w:p w14:paraId="2879DC6C">
      <w:pPr>
        <w:rPr>
          <w:color w:val="000000" w:themeColor="text1"/>
          <w:highlight w:val="none"/>
          <w14:textFill>
            <w14:solidFill>
              <w14:schemeClr w14:val="tx1"/>
            </w14:solidFill>
          </w14:textFill>
        </w:rPr>
      </w:pPr>
    </w:p>
    <w:p w14:paraId="2940F8BD">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6D310EDD">
      <w:pPr>
        <w:pStyle w:val="5"/>
        <w:spacing w:before="120" w:after="120"/>
        <w:jc w:val="center"/>
        <w:rPr>
          <w:rFonts w:cs="宋体"/>
          <w:b/>
          <w:bCs/>
          <w:color w:val="000000" w:themeColor="text1"/>
          <w:sz w:val="32"/>
          <w:highlight w:val="none"/>
          <w14:textFill>
            <w14:solidFill>
              <w14:schemeClr w14:val="tx1"/>
            </w14:solidFill>
          </w14:textFill>
        </w:rPr>
      </w:pPr>
      <w:r>
        <w:rPr>
          <w:rFonts w:hint="eastAsia" w:cs="宋体"/>
          <w:b/>
          <w:bCs/>
          <w:color w:val="000000" w:themeColor="text1"/>
          <w:sz w:val="32"/>
          <w:highlight w:val="none"/>
          <w14:textFill>
            <w14:solidFill>
              <w14:schemeClr w14:val="tx1"/>
            </w14:solidFill>
          </w14:textFill>
        </w:rPr>
        <w:t>二、法定代表人资格证明书</w:t>
      </w:r>
    </w:p>
    <w:p w14:paraId="3B9A0EF1">
      <w:pPr>
        <w:rPr>
          <w:rFonts w:ascii="宋体" w:hAnsi="宋体" w:cs="宋体"/>
          <w:color w:val="000000" w:themeColor="text1"/>
          <w:highlight w:val="none"/>
          <w14:textFill>
            <w14:solidFill>
              <w14:schemeClr w14:val="tx1"/>
            </w14:solidFill>
          </w14:textFill>
        </w:rPr>
      </w:pPr>
    </w:p>
    <w:p w14:paraId="732E50D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2"/>
          <w:highlight w:val="none"/>
        </w:rPr>
      </w:pPr>
      <w:r>
        <w:rPr>
          <w:rFonts w:hint="eastAsia" w:ascii="宋体" w:hAnsi="宋体" w:eastAsia="宋体" w:cs="宋体"/>
          <w:sz w:val="22"/>
          <w:highlight w:val="none"/>
        </w:rPr>
        <w:t xml:space="preserve"> </w:t>
      </w:r>
      <w:r>
        <w:rPr>
          <w:rFonts w:hint="eastAsia" w:ascii="宋体" w:hAnsi="宋体" w:eastAsia="宋体" w:cs="宋体"/>
          <w:sz w:val="22"/>
          <w:highlight w:val="none"/>
          <w:u w:val="single"/>
        </w:rPr>
        <w:t xml:space="preserve">         </w:t>
      </w:r>
      <w:r>
        <w:rPr>
          <w:rFonts w:hint="eastAsia" w:ascii="宋体" w:hAnsi="宋体" w:eastAsia="宋体" w:cs="宋体"/>
          <w:sz w:val="22"/>
          <w:highlight w:val="none"/>
        </w:rPr>
        <w:t>同志，现任我单位</w:t>
      </w:r>
      <w:r>
        <w:rPr>
          <w:rFonts w:hint="eastAsia" w:ascii="宋体" w:hAnsi="宋体" w:eastAsia="宋体" w:cs="宋体"/>
          <w:sz w:val="22"/>
          <w:highlight w:val="none"/>
          <w:u w:val="single"/>
        </w:rPr>
        <w:t xml:space="preserve">         </w:t>
      </w:r>
      <w:r>
        <w:rPr>
          <w:rFonts w:hint="eastAsia" w:ascii="宋体" w:hAnsi="宋体" w:eastAsia="宋体" w:cs="宋体"/>
          <w:sz w:val="22"/>
          <w:highlight w:val="none"/>
        </w:rPr>
        <w:t>职务，为法定代表人，特此证明。</w:t>
      </w:r>
    </w:p>
    <w:p w14:paraId="6BB3AC2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2"/>
          <w:highlight w:val="none"/>
        </w:rPr>
      </w:pPr>
      <w:r>
        <w:rPr>
          <w:rFonts w:hint="eastAsia" w:ascii="宋体" w:hAnsi="宋体" w:eastAsia="宋体" w:cs="宋体"/>
          <w:sz w:val="22"/>
          <w:highlight w:val="none"/>
        </w:rPr>
        <w:t xml:space="preserve">有效日期：         签发日期：         单位：              </w:t>
      </w:r>
    </w:p>
    <w:p w14:paraId="235FC79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2"/>
          <w:highlight w:val="none"/>
        </w:rPr>
      </w:pPr>
      <w:r>
        <w:rPr>
          <w:rFonts w:hint="eastAsia" w:ascii="宋体" w:hAnsi="宋体" w:eastAsia="宋体" w:cs="宋体"/>
          <w:sz w:val="22"/>
          <w:highlight w:val="none"/>
        </w:rPr>
        <w:t>附：代表人性别：   年龄：      身份证号码：</w:t>
      </w:r>
    </w:p>
    <w:p w14:paraId="48A53A3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2"/>
          <w:highlight w:val="none"/>
        </w:rPr>
      </w:pPr>
      <w:r>
        <w:rPr>
          <w:rFonts w:hint="eastAsia" w:ascii="宋体" w:hAnsi="宋体" w:eastAsia="宋体" w:cs="宋体"/>
          <w:sz w:val="22"/>
          <w:highlight w:val="none"/>
        </w:rPr>
        <w:t>营业执照号码：                 经济性质：</w:t>
      </w:r>
    </w:p>
    <w:p w14:paraId="38685D1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2"/>
          <w:highlight w:val="none"/>
        </w:rPr>
      </w:pPr>
      <w:r>
        <w:rPr>
          <w:rFonts w:hint="eastAsia" w:ascii="宋体" w:hAnsi="宋体" w:eastAsia="宋体" w:cs="宋体"/>
          <w:sz w:val="22"/>
          <w:highlight w:val="none"/>
        </w:rPr>
        <w:t>主营（产）：</w:t>
      </w:r>
    </w:p>
    <w:p w14:paraId="1FAFFE3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2"/>
          <w:highlight w:val="none"/>
        </w:rPr>
      </w:pPr>
      <w:r>
        <w:rPr>
          <w:rFonts w:hint="eastAsia" w:ascii="宋体" w:hAnsi="宋体" w:eastAsia="宋体" w:cs="宋体"/>
          <w:sz w:val="22"/>
          <w:highlight w:val="none"/>
        </w:rPr>
        <w:t>兼营（产）：</w:t>
      </w:r>
    </w:p>
    <w:p w14:paraId="7A4902D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2"/>
          <w:highlight w:val="none"/>
        </w:rPr>
      </w:pPr>
      <w:r>
        <w:rPr>
          <w:rFonts w:hint="eastAsia" w:ascii="宋体" w:hAnsi="宋体" w:eastAsia="宋体" w:cs="宋体"/>
          <w:sz w:val="22"/>
          <w:highlight w:val="none"/>
        </w:rPr>
        <w:t>进口物品经营许可证号码：</w:t>
      </w:r>
    </w:p>
    <w:p w14:paraId="2939D51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2"/>
          <w:highlight w:val="none"/>
        </w:rPr>
      </w:pPr>
      <w:r>
        <w:rPr>
          <w:rFonts w:hint="eastAsia" w:ascii="宋体" w:hAnsi="宋体" w:eastAsia="宋体" w:cs="宋体"/>
          <w:sz w:val="22"/>
          <w:highlight w:val="none"/>
        </w:rPr>
        <w:t>主营：</w:t>
      </w:r>
    </w:p>
    <w:p w14:paraId="74A9DA4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2"/>
          <w:highlight w:val="none"/>
        </w:rPr>
      </w:pPr>
      <w:r>
        <w:rPr>
          <w:rFonts w:hint="eastAsia" w:ascii="宋体" w:hAnsi="宋体" w:eastAsia="宋体" w:cs="宋体"/>
          <w:sz w:val="22"/>
          <w:highlight w:val="none"/>
        </w:rPr>
        <w:t>兼营：</w:t>
      </w:r>
    </w:p>
    <w:p w14:paraId="70D81AE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2"/>
          <w:highlight w:val="none"/>
        </w:rPr>
      </w:pPr>
      <w:r>
        <w:rPr>
          <w:rFonts w:hint="eastAsia" w:ascii="宋体" w:hAnsi="宋体" w:eastAsia="宋体" w:cs="宋体"/>
          <w:sz w:val="22"/>
          <w:highlight w:val="none"/>
        </w:rPr>
        <w:t>说明：1、法定代表人为企业事业单位、国家机关、社会团体的主要行政负责人。</w:t>
      </w:r>
    </w:p>
    <w:p w14:paraId="406BD65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2"/>
          <w:highlight w:val="none"/>
        </w:rPr>
      </w:pPr>
      <w:r>
        <w:rPr>
          <w:rFonts w:hint="eastAsia" w:ascii="宋体" w:hAnsi="宋体" w:eastAsia="宋体" w:cs="宋体"/>
          <w:sz w:val="22"/>
          <w:highlight w:val="none"/>
        </w:rPr>
        <w:t xml:space="preserve">      2、内容必须填写真实、清楚，涂改无效，不得转让、买卖。</w:t>
      </w:r>
    </w:p>
    <w:p w14:paraId="5F87DCD0">
      <w:pPr>
        <w:keepNext w:val="0"/>
        <w:keepLines w:val="0"/>
        <w:pageBreakBefore w:val="0"/>
        <w:widowControl w:val="0"/>
        <w:kinsoku/>
        <w:wordWrap/>
        <w:overflowPunct/>
        <w:topLinePunct w:val="0"/>
        <w:autoSpaceDE/>
        <w:autoSpaceDN/>
        <w:bidi w:val="0"/>
        <w:adjustRightInd/>
        <w:snapToGrid/>
        <w:spacing w:line="360" w:lineRule="auto"/>
        <w:ind w:left="660"/>
        <w:textAlignment w:val="auto"/>
        <w:rPr>
          <w:rFonts w:hint="eastAsia" w:ascii="宋体" w:hAnsi="宋体" w:eastAsia="宋体" w:cs="宋体"/>
          <w:sz w:val="22"/>
          <w:highlight w:val="none"/>
        </w:rPr>
      </w:pPr>
      <w:r>
        <w:rPr>
          <w:rFonts w:hint="eastAsia" w:ascii="宋体" w:hAnsi="宋体" w:eastAsia="宋体" w:cs="宋体"/>
          <w:sz w:val="22"/>
          <w:highlight w:val="none"/>
        </w:rPr>
        <w:t>3、提供法定代表人的身份证复印件（附后）。</w:t>
      </w:r>
    </w:p>
    <w:p w14:paraId="4A1CEE23">
      <w:pPr>
        <w:pStyle w:val="10"/>
        <w:ind w:firstLine="663" w:firstLineChars="300"/>
        <w:rPr>
          <w:highlight w:val="none"/>
        </w:rPr>
      </w:pPr>
      <w:r>
        <w:rPr>
          <w:rFonts w:hint="eastAsia" w:ascii="宋体" w:hAnsi="宋体" w:eastAsia="宋体" w:cs="宋体"/>
          <w:b/>
          <w:bCs/>
          <w:color w:val="FF0000"/>
          <w:kern w:val="2"/>
          <w:sz w:val="22"/>
          <w:szCs w:val="24"/>
          <w:highlight w:val="none"/>
          <w:lang w:val="en-US" w:eastAsia="zh-CN" w:bidi="ar-SA"/>
        </w:rPr>
        <w:t>4</w:t>
      </w:r>
      <w:r>
        <w:rPr>
          <w:rFonts w:hint="eastAsia"/>
          <w:b/>
          <w:color w:val="FF0000"/>
          <w:sz w:val="22"/>
          <w:highlight w:val="none"/>
          <w:lang w:eastAsia="zh-CN"/>
        </w:rPr>
        <w:t>、</w:t>
      </w:r>
      <w:r>
        <w:rPr>
          <w:rFonts w:hint="eastAsia"/>
          <w:b/>
          <w:color w:val="FF0000"/>
          <w:sz w:val="22"/>
          <w:highlight w:val="none"/>
        </w:rPr>
        <w:t>提供法定代表人的投标截止前近一个月（由于社保部门原因最近一个月的社保证明无法提供的可往前顺延一个月）的社保证明。</w:t>
      </w:r>
    </w:p>
    <w:p w14:paraId="0299EB81">
      <w:pPr>
        <w:spacing w:line="360" w:lineRule="auto"/>
        <w:ind w:left="4598" w:leftChars="2000" w:hanging="398" w:hangingChars="166"/>
        <w:rPr>
          <w:rFonts w:ascii="宋体" w:hAnsi="宋体"/>
          <w:color w:val="000000" w:themeColor="text1"/>
          <w:sz w:val="24"/>
          <w:highlight w:val="none"/>
          <w14:textFill>
            <w14:solidFill>
              <w14:schemeClr w14:val="tx1"/>
            </w14:solidFill>
          </w14:textFill>
        </w:rPr>
      </w:pPr>
    </w:p>
    <w:p w14:paraId="2E102C94">
      <w:pPr>
        <w:spacing w:line="360" w:lineRule="auto"/>
        <w:rPr>
          <w:rFonts w:ascii="Times New Roman" w:hAnsi="Times New Roman"/>
          <w:color w:val="000000" w:themeColor="text1"/>
          <w:sz w:val="22"/>
          <w:szCs w:val="22"/>
          <w:highlight w:val="none"/>
          <w14:textFill>
            <w14:solidFill>
              <w14:schemeClr w14:val="tx1"/>
            </w14:solidFill>
          </w14:textFill>
        </w:rPr>
      </w:pPr>
      <w:r>
        <w:rPr>
          <w:rFonts w:hint="eastAsia" w:ascii="Times New Roman" w:hAnsi="Times New Roman"/>
          <w:color w:val="000000" w:themeColor="text1"/>
          <w:sz w:val="22"/>
          <w:szCs w:val="22"/>
          <w:highlight w:val="none"/>
          <w14:textFill>
            <w14:solidFill>
              <w14:schemeClr w14:val="tx1"/>
            </w14:solidFill>
          </w14:textFill>
        </w:rPr>
        <w:t xml:space="preserve">投标人名称（盖章）：                        </w:t>
      </w:r>
    </w:p>
    <w:p w14:paraId="7E825216">
      <w:pPr>
        <w:spacing w:line="360" w:lineRule="auto"/>
        <w:rPr>
          <w:rFonts w:ascii="Times New Roman" w:hAnsi="Times New Roman"/>
          <w:color w:val="000000" w:themeColor="text1"/>
          <w:sz w:val="22"/>
          <w:szCs w:val="22"/>
          <w:highlight w:val="none"/>
          <w14:textFill>
            <w14:solidFill>
              <w14:schemeClr w14:val="tx1"/>
            </w14:solidFill>
          </w14:textFill>
        </w:rPr>
      </w:pPr>
      <w:r>
        <w:rPr>
          <w:rFonts w:hint="eastAsia" w:ascii="Times New Roman" w:hAnsi="Times New Roman"/>
          <w:color w:val="000000" w:themeColor="text1"/>
          <w:sz w:val="22"/>
          <w:szCs w:val="22"/>
          <w:highlight w:val="none"/>
          <w14:textFill>
            <w14:solidFill>
              <w14:schemeClr w14:val="tx1"/>
            </w14:solidFill>
          </w14:textFill>
        </w:rPr>
        <w:t>日期：   年   月   日</w:t>
      </w:r>
    </w:p>
    <w:p w14:paraId="536187DF">
      <w:pPr>
        <w:jc w:val="center"/>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br w:type="page"/>
      </w:r>
    </w:p>
    <w:p w14:paraId="7003182C">
      <w:pPr>
        <w:pStyle w:val="5"/>
        <w:spacing w:before="120" w:after="120"/>
        <w:jc w:val="center"/>
        <w:rPr>
          <w:rFonts w:cs="宋体"/>
          <w:b/>
          <w:bCs/>
          <w:color w:val="000000" w:themeColor="text1"/>
          <w:sz w:val="32"/>
          <w:highlight w:val="none"/>
          <w14:textFill>
            <w14:solidFill>
              <w14:schemeClr w14:val="tx1"/>
            </w14:solidFill>
          </w14:textFill>
        </w:rPr>
      </w:pPr>
      <w:r>
        <w:rPr>
          <w:rFonts w:hint="eastAsia" w:cs="宋体"/>
          <w:b/>
          <w:bCs/>
          <w:color w:val="000000" w:themeColor="text1"/>
          <w:sz w:val="32"/>
          <w:highlight w:val="none"/>
          <w14:textFill>
            <w14:solidFill>
              <w14:schemeClr w14:val="tx1"/>
            </w14:solidFill>
          </w14:textFill>
        </w:rPr>
        <w:t>三、法定代表人授权书</w:t>
      </w:r>
    </w:p>
    <w:p w14:paraId="4B91816C">
      <w:pPr>
        <w:rPr>
          <w:rFonts w:ascii="宋体" w:hAnsi="宋体" w:cs="宋体"/>
          <w:bCs/>
          <w:color w:val="000000" w:themeColor="text1"/>
          <w:sz w:val="24"/>
          <w:highlight w:val="none"/>
          <w14:textFill>
            <w14:solidFill>
              <w14:schemeClr w14:val="tx1"/>
            </w14:solidFill>
          </w14:textFill>
        </w:rPr>
      </w:pPr>
    </w:p>
    <w:p w14:paraId="48320E60">
      <w:pPr>
        <w:spacing w:line="360" w:lineRule="exact"/>
        <w:rPr>
          <w:bCs/>
          <w:sz w:val="22"/>
          <w:highlight w:val="none"/>
        </w:rPr>
      </w:pPr>
      <w:r>
        <w:rPr>
          <w:sz w:val="22"/>
          <w:highlight w:val="none"/>
        </w:rPr>
        <w:t>致：</w:t>
      </w:r>
      <w:r>
        <w:rPr>
          <w:bCs/>
          <w:sz w:val="22"/>
          <w:highlight w:val="none"/>
        </w:rPr>
        <w:t>深圳市东海国际招标有限公司：</w:t>
      </w:r>
    </w:p>
    <w:p w14:paraId="7C5604CC">
      <w:pPr>
        <w:spacing w:line="360" w:lineRule="exact"/>
        <w:rPr>
          <w:bCs/>
          <w:sz w:val="22"/>
          <w:highlight w:val="none"/>
        </w:rPr>
      </w:pPr>
    </w:p>
    <w:p w14:paraId="625355BF">
      <w:pPr>
        <w:spacing w:line="360" w:lineRule="exact"/>
        <w:rPr>
          <w:bCs/>
          <w:sz w:val="22"/>
          <w:highlight w:val="none"/>
        </w:rPr>
      </w:pPr>
      <w:r>
        <w:rPr>
          <w:bCs/>
          <w:sz w:val="22"/>
          <w:highlight w:val="none"/>
        </w:rPr>
        <w:t xml:space="preserve">     </w:t>
      </w:r>
      <w:r>
        <w:rPr>
          <w:bCs/>
          <w:sz w:val="22"/>
          <w:highlight w:val="none"/>
          <w:u w:val="single"/>
        </w:rPr>
        <w:t xml:space="preserve">          （投标人全称）     </w:t>
      </w:r>
      <w:r>
        <w:rPr>
          <w:bCs/>
          <w:sz w:val="22"/>
          <w:highlight w:val="none"/>
        </w:rPr>
        <w:t xml:space="preserve"> 法定代表人</w:t>
      </w:r>
      <w:r>
        <w:rPr>
          <w:bCs/>
          <w:sz w:val="22"/>
          <w:highlight w:val="none"/>
          <w:u w:val="single"/>
        </w:rPr>
        <w:t xml:space="preserve">                 </w:t>
      </w:r>
      <w:r>
        <w:rPr>
          <w:bCs/>
          <w:sz w:val="22"/>
          <w:highlight w:val="none"/>
        </w:rPr>
        <w:t xml:space="preserve">授权 </w:t>
      </w:r>
      <w:r>
        <w:rPr>
          <w:bCs/>
          <w:sz w:val="22"/>
          <w:highlight w:val="none"/>
          <w:u w:val="single"/>
        </w:rPr>
        <w:t xml:space="preserve">  （被授权代表姓名、职务）              </w:t>
      </w:r>
      <w:r>
        <w:rPr>
          <w:bCs/>
          <w:sz w:val="22"/>
          <w:highlight w:val="none"/>
        </w:rPr>
        <w:t>为本公司合法代理人，参加贵招标代理公司组织的</w:t>
      </w:r>
      <w:r>
        <w:rPr>
          <w:bCs/>
          <w:sz w:val="22"/>
          <w:highlight w:val="none"/>
          <w:u w:val="single"/>
        </w:rPr>
        <w:t xml:space="preserve">   (项目名称)（项目编号）                      </w:t>
      </w:r>
      <w:r>
        <w:rPr>
          <w:bCs/>
          <w:sz w:val="22"/>
          <w:highlight w:val="none"/>
        </w:rPr>
        <w:t xml:space="preserve"> 项目的招标投标活动，代表本公司处理招标投标活动中的一切事宜。包括但不限于：投标、参与开标、谈判、签约等。投标人代表在投标过程中所签署的一切文件和处理与之有关的一切事务，本公司均予以认可并对此承担责任。投标人代表无转委权。特此授权。</w:t>
      </w:r>
    </w:p>
    <w:p w14:paraId="580370F8">
      <w:pPr>
        <w:spacing w:line="360" w:lineRule="exact"/>
        <w:rPr>
          <w:bCs/>
          <w:sz w:val="22"/>
          <w:highlight w:val="none"/>
        </w:rPr>
      </w:pPr>
      <w:r>
        <w:rPr>
          <w:bCs/>
          <w:sz w:val="22"/>
          <w:highlight w:val="none"/>
        </w:rPr>
        <w:t xml:space="preserve">     本授权书于</w:t>
      </w:r>
      <w:r>
        <w:rPr>
          <w:bCs/>
          <w:sz w:val="22"/>
          <w:highlight w:val="none"/>
          <w:u w:val="single"/>
        </w:rPr>
        <w:t xml:space="preserve">       </w:t>
      </w:r>
      <w:r>
        <w:rPr>
          <w:bCs/>
          <w:sz w:val="22"/>
          <w:highlight w:val="none"/>
        </w:rPr>
        <w:t>年</w:t>
      </w:r>
      <w:r>
        <w:rPr>
          <w:bCs/>
          <w:sz w:val="22"/>
          <w:highlight w:val="none"/>
          <w:u w:val="single"/>
        </w:rPr>
        <w:t xml:space="preserve">   </w:t>
      </w:r>
      <w:r>
        <w:rPr>
          <w:bCs/>
          <w:sz w:val="22"/>
          <w:highlight w:val="none"/>
        </w:rPr>
        <w:t>月</w:t>
      </w:r>
      <w:r>
        <w:rPr>
          <w:bCs/>
          <w:sz w:val="22"/>
          <w:highlight w:val="none"/>
          <w:u w:val="single"/>
        </w:rPr>
        <w:t xml:space="preserve">    </w:t>
      </w:r>
      <w:r>
        <w:rPr>
          <w:bCs/>
          <w:sz w:val="22"/>
          <w:highlight w:val="none"/>
        </w:rPr>
        <w:t>日签字生效，特此声明。</w:t>
      </w:r>
    </w:p>
    <w:p w14:paraId="0DE98742">
      <w:pPr>
        <w:spacing w:line="360" w:lineRule="exact"/>
        <w:rPr>
          <w:bCs/>
          <w:sz w:val="22"/>
          <w:highlight w:val="none"/>
        </w:rPr>
      </w:pPr>
    </w:p>
    <w:p w14:paraId="6BD7D5E9">
      <w:pPr>
        <w:spacing w:line="360" w:lineRule="exact"/>
        <w:ind w:firstLine="110" w:firstLineChars="50"/>
        <w:rPr>
          <w:bCs/>
          <w:sz w:val="22"/>
          <w:highlight w:val="none"/>
          <w:u w:val="single"/>
        </w:rPr>
      </w:pPr>
      <w:r>
        <w:rPr>
          <w:bCs/>
          <w:sz w:val="22"/>
          <w:highlight w:val="none"/>
        </w:rPr>
        <w:t>被授权人：</w:t>
      </w:r>
      <w:r>
        <w:rPr>
          <w:bCs/>
          <w:sz w:val="22"/>
          <w:highlight w:val="none"/>
          <w:u w:val="single"/>
        </w:rPr>
        <w:t xml:space="preserve">                  </w:t>
      </w:r>
      <w:r>
        <w:rPr>
          <w:bCs/>
          <w:sz w:val="22"/>
          <w:highlight w:val="none"/>
        </w:rPr>
        <w:t xml:space="preserve">   职务：</w:t>
      </w:r>
      <w:r>
        <w:rPr>
          <w:bCs/>
          <w:sz w:val="22"/>
          <w:highlight w:val="none"/>
          <w:u w:val="single"/>
        </w:rPr>
        <w:t xml:space="preserve">                  </w:t>
      </w:r>
    </w:p>
    <w:p w14:paraId="4A2C65A2">
      <w:pPr>
        <w:spacing w:line="360" w:lineRule="exact"/>
        <w:ind w:firstLine="110" w:firstLineChars="50"/>
        <w:rPr>
          <w:bCs/>
          <w:sz w:val="22"/>
          <w:highlight w:val="none"/>
          <w:u w:val="single"/>
        </w:rPr>
      </w:pPr>
      <w:r>
        <w:rPr>
          <w:bCs/>
          <w:sz w:val="22"/>
          <w:highlight w:val="none"/>
        </w:rPr>
        <w:t>联系电话：</w:t>
      </w:r>
      <w:r>
        <w:rPr>
          <w:bCs/>
          <w:sz w:val="22"/>
          <w:highlight w:val="none"/>
          <w:u w:val="single"/>
        </w:rPr>
        <w:t xml:space="preserve">                  </w:t>
      </w:r>
      <w:r>
        <w:rPr>
          <w:bCs/>
          <w:sz w:val="22"/>
          <w:highlight w:val="none"/>
        </w:rPr>
        <w:t xml:space="preserve">   手机：</w:t>
      </w:r>
      <w:r>
        <w:rPr>
          <w:bCs/>
          <w:sz w:val="22"/>
          <w:highlight w:val="none"/>
          <w:u w:val="single"/>
        </w:rPr>
        <w:t xml:space="preserve">                  </w:t>
      </w:r>
    </w:p>
    <w:p w14:paraId="47350FD7">
      <w:pPr>
        <w:spacing w:line="360" w:lineRule="exact"/>
        <w:ind w:firstLine="110" w:firstLineChars="50"/>
        <w:rPr>
          <w:bCs/>
          <w:sz w:val="22"/>
          <w:highlight w:val="none"/>
        </w:rPr>
      </w:pPr>
      <w:r>
        <w:rPr>
          <w:bCs/>
          <w:sz w:val="22"/>
          <w:highlight w:val="none"/>
        </w:rPr>
        <w:t>身份证号码：</w:t>
      </w:r>
      <w:r>
        <w:rPr>
          <w:bCs/>
          <w:sz w:val="22"/>
          <w:highlight w:val="none"/>
          <w:u w:val="single"/>
        </w:rPr>
        <w:t xml:space="preserve">                                           </w:t>
      </w:r>
    </w:p>
    <w:p w14:paraId="4B313EAC">
      <w:pPr>
        <w:spacing w:line="360" w:lineRule="exact"/>
        <w:ind w:firstLine="110" w:firstLineChars="50"/>
        <w:rPr>
          <w:bCs/>
          <w:sz w:val="22"/>
          <w:highlight w:val="none"/>
          <w:u w:val="single"/>
        </w:rPr>
      </w:pPr>
      <w:r>
        <w:rPr>
          <w:bCs/>
          <w:sz w:val="22"/>
          <w:highlight w:val="none"/>
        </w:rPr>
        <w:t>投标人（盖章）：</w:t>
      </w:r>
      <w:r>
        <w:rPr>
          <w:bCs/>
          <w:sz w:val="22"/>
          <w:highlight w:val="none"/>
          <w:u w:val="single"/>
        </w:rPr>
        <w:t xml:space="preserve">                                        </w:t>
      </w:r>
    </w:p>
    <w:p w14:paraId="2BCEBF78">
      <w:pPr>
        <w:spacing w:line="360" w:lineRule="exact"/>
        <w:ind w:firstLine="110" w:firstLineChars="50"/>
        <w:rPr>
          <w:bCs/>
          <w:sz w:val="22"/>
          <w:highlight w:val="none"/>
          <w:u w:val="single"/>
        </w:rPr>
      </w:pPr>
      <w:r>
        <w:rPr>
          <w:bCs/>
          <w:sz w:val="22"/>
          <w:highlight w:val="none"/>
        </w:rPr>
        <w:t>法定代表人（签名）：</w:t>
      </w:r>
      <w:r>
        <w:rPr>
          <w:bCs/>
          <w:sz w:val="22"/>
          <w:highlight w:val="none"/>
          <w:u w:val="single"/>
        </w:rPr>
        <w:t xml:space="preserve">                                    </w:t>
      </w:r>
    </w:p>
    <w:p w14:paraId="65C717ED">
      <w:pPr>
        <w:spacing w:line="360" w:lineRule="exact"/>
        <w:ind w:firstLine="110" w:firstLineChars="50"/>
        <w:rPr>
          <w:bCs/>
          <w:sz w:val="22"/>
          <w:highlight w:val="none"/>
          <w:u w:val="single"/>
        </w:rPr>
      </w:pPr>
      <w:r>
        <w:rPr>
          <w:bCs/>
          <w:sz w:val="22"/>
          <w:highlight w:val="none"/>
        </w:rPr>
        <w:t>被授权人（签名）：</w:t>
      </w:r>
      <w:r>
        <w:rPr>
          <w:bCs/>
          <w:sz w:val="22"/>
          <w:highlight w:val="none"/>
          <w:u w:val="single"/>
        </w:rPr>
        <w:t xml:space="preserve">                                      </w:t>
      </w:r>
    </w:p>
    <w:p w14:paraId="3A772519">
      <w:pPr>
        <w:spacing w:line="360" w:lineRule="exact"/>
        <w:rPr>
          <w:bCs/>
          <w:sz w:val="22"/>
          <w:highlight w:val="none"/>
        </w:rPr>
      </w:pPr>
    </w:p>
    <w:p w14:paraId="374DF5AD">
      <w:pPr>
        <w:spacing w:line="360" w:lineRule="exact"/>
        <w:rPr>
          <w:bCs/>
          <w:sz w:val="22"/>
          <w:highlight w:val="none"/>
        </w:rPr>
      </w:pPr>
      <w:r>
        <w:rPr>
          <w:bCs/>
          <w:sz w:val="22"/>
          <w:highlight w:val="none"/>
        </w:rPr>
        <w:t>说明：1.本授权委托书要求投标人提供有</w:t>
      </w:r>
      <w:r>
        <w:rPr>
          <w:b/>
          <w:bCs/>
          <w:sz w:val="22"/>
          <w:highlight w:val="none"/>
        </w:rPr>
        <w:t>代理人签字、法定代表人的签字（或盖私章）和加盖公章</w:t>
      </w:r>
      <w:r>
        <w:rPr>
          <w:bCs/>
          <w:sz w:val="22"/>
          <w:highlight w:val="none"/>
        </w:rPr>
        <w:t>后的原件方为有效；</w:t>
      </w:r>
    </w:p>
    <w:p w14:paraId="6EAD26FA">
      <w:pPr>
        <w:spacing w:line="360" w:lineRule="exact"/>
        <w:ind w:firstLine="660" w:firstLineChars="300"/>
        <w:jc w:val="left"/>
        <w:rPr>
          <w:bCs/>
          <w:sz w:val="22"/>
          <w:highlight w:val="none"/>
        </w:rPr>
      </w:pPr>
      <w:r>
        <w:rPr>
          <w:bCs/>
          <w:sz w:val="22"/>
          <w:highlight w:val="none"/>
        </w:rPr>
        <w:t>2.提供代理人的身份证复印件（附后）。</w:t>
      </w:r>
    </w:p>
    <w:p w14:paraId="66AAC9CC">
      <w:pPr>
        <w:spacing w:line="360" w:lineRule="exact"/>
        <w:ind w:firstLine="663" w:firstLineChars="300"/>
        <w:jc w:val="left"/>
        <w:rPr>
          <w:rFonts w:hint="eastAsia" w:cs="宋体"/>
          <w:bCs/>
          <w:color w:val="000000" w:themeColor="text1"/>
          <w:sz w:val="22"/>
          <w:highlight w:val="none"/>
          <w14:textFill>
            <w14:solidFill>
              <w14:schemeClr w14:val="tx1"/>
            </w14:solidFill>
          </w14:textFill>
        </w:rPr>
      </w:pPr>
      <w:r>
        <w:rPr>
          <w:rFonts w:hint="eastAsia"/>
          <w:b/>
          <w:bCs w:val="0"/>
          <w:color w:val="FF0000"/>
          <w:sz w:val="22"/>
          <w:highlight w:val="none"/>
        </w:rPr>
        <w:t>3</w:t>
      </w:r>
      <w:r>
        <w:rPr>
          <w:rFonts w:hint="eastAsia"/>
          <w:b/>
          <w:color w:val="FF0000"/>
          <w:sz w:val="22"/>
          <w:highlight w:val="none"/>
        </w:rPr>
        <w:t>.提供授权代表在投标人缴纳的投标截止前近一个月（由于社保部门原因最近一个月的社保证明无法提供的可往前顺延一个月）的社保证明。如供应商为新成立企业且成立时间不足一个月可提供加盖公章的情况说明或者证明材料亦视为符合。</w:t>
      </w:r>
      <w:r>
        <w:rPr>
          <w:rFonts w:hint="eastAsia" w:cs="宋体"/>
          <w:bCs/>
          <w:color w:val="000000" w:themeColor="text1"/>
          <w:sz w:val="22"/>
          <w:highlight w:val="none"/>
          <w14:textFill>
            <w14:solidFill>
              <w14:schemeClr w14:val="tx1"/>
            </w14:solidFill>
          </w14:textFill>
        </w:rPr>
        <w:br w:type="page"/>
      </w:r>
    </w:p>
    <w:p w14:paraId="472F2FB7">
      <w:pPr>
        <w:pStyle w:val="4"/>
        <w:rPr>
          <w:rFonts w:cs="宋体"/>
          <w:color w:val="000000" w:themeColor="text1"/>
          <w:sz w:val="32"/>
          <w:szCs w:val="32"/>
          <w:highlight w:val="none"/>
          <w14:textFill>
            <w14:solidFill>
              <w14:schemeClr w14:val="tx1"/>
            </w14:solidFill>
          </w14:textFill>
        </w:rPr>
      </w:pPr>
      <w:r>
        <w:rPr>
          <w:rFonts w:hint="eastAsia" w:cs="宋体"/>
          <w:color w:val="000000" w:themeColor="text1"/>
          <w:sz w:val="32"/>
          <w:szCs w:val="32"/>
          <w:highlight w:val="none"/>
          <w14:textFill>
            <w14:solidFill>
              <w14:schemeClr w14:val="tx1"/>
            </w14:solidFill>
          </w14:textFill>
        </w:rPr>
        <w:t>附件2、投标文件</w:t>
      </w:r>
    </w:p>
    <w:p w14:paraId="269231DA">
      <w:pPr>
        <w:ind w:left="907" w:leftChars="432" w:firstLine="990" w:firstLineChars="450"/>
        <w:rPr>
          <w:rFonts w:ascii="宋体" w:hAnsi="宋体" w:cs="宋体"/>
          <w:bCs/>
          <w:color w:val="000000" w:themeColor="text1"/>
          <w:sz w:val="22"/>
          <w:highlight w:val="none"/>
          <w14:textFill>
            <w14:solidFill>
              <w14:schemeClr w14:val="tx1"/>
            </w14:solidFill>
          </w14:textFill>
        </w:rPr>
      </w:pPr>
    </w:p>
    <w:p w14:paraId="4D76955A">
      <w:pPr>
        <w:ind w:left="907" w:leftChars="432" w:firstLine="990" w:firstLineChars="450"/>
        <w:rPr>
          <w:rFonts w:ascii="宋体" w:hAnsi="宋体" w:cs="宋体"/>
          <w:bCs/>
          <w:color w:val="000000" w:themeColor="text1"/>
          <w:sz w:val="22"/>
          <w:highlight w:val="none"/>
          <w14:textFill>
            <w14:solidFill>
              <w14:schemeClr w14:val="tx1"/>
            </w14:solidFill>
          </w14:textFill>
        </w:rPr>
      </w:pPr>
    </w:p>
    <w:p w14:paraId="5C530D66">
      <w:pPr>
        <w:ind w:left="907" w:leftChars="432" w:firstLine="990" w:firstLineChars="450"/>
        <w:rPr>
          <w:rFonts w:ascii="宋体" w:hAnsi="宋体" w:cs="宋体"/>
          <w:bCs/>
          <w:color w:val="000000" w:themeColor="text1"/>
          <w:sz w:val="22"/>
          <w:highlight w:val="none"/>
          <w14:textFill>
            <w14:solidFill>
              <w14:schemeClr w14:val="tx1"/>
            </w14:solidFill>
          </w14:textFill>
        </w:rPr>
      </w:pPr>
    </w:p>
    <w:p w14:paraId="41D57723">
      <w:pPr>
        <w:ind w:left="907" w:leftChars="432" w:firstLine="990" w:firstLineChars="450"/>
        <w:rPr>
          <w:rFonts w:ascii="宋体" w:hAnsi="宋体" w:cs="宋体"/>
          <w:bCs/>
          <w:color w:val="000000" w:themeColor="text1"/>
          <w:sz w:val="22"/>
          <w:highlight w:val="none"/>
          <w14:textFill>
            <w14:solidFill>
              <w14:schemeClr w14:val="tx1"/>
            </w14:solidFill>
          </w14:textFill>
        </w:rPr>
      </w:pPr>
    </w:p>
    <w:p w14:paraId="5DBEE48D">
      <w:pPr>
        <w:ind w:left="907" w:leftChars="432" w:firstLine="990" w:firstLineChars="450"/>
        <w:rPr>
          <w:rFonts w:ascii="宋体" w:hAnsi="宋体" w:cs="宋体"/>
          <w:bCs/>
          <w:color w:val="000000" w:themeColor="text1"/>
          <w:sz w:val="22"/>
          <w:highlight w:val="none"/>
          <w14:textFill>
            <w14:solidFill>
              <w14:schemeClr w14:val="tx1"/>
            </w14:solidFill>
          </w14:textFill>
        </w:rPr>
      </w:pPr>
    </w:p>
    <w:p w14:paraId="39F71DF4">
      <w:pPr>
        <w:ind w:left="907" w:leftChars="432" w:firstLine="990" w:firstLineChars="450"/>
        <w:rPr>
          <w:rFonts w:ascii="宋体" w:hAnsi="宋体" w:cs="宋体"/>
          <w:bCs/>
          <w:color w:val="000000" w:themeColor="text1"/>
          <w:sz w:val="22"/>
          <w:highlight w:val="none"/>
          <w14:textFill>
            <w14:solidFill>
              <w14:schemeClr w14:val="tx1"/>
            </w14:solidFill>
          </w14:textFill>
        </w:rPr>
      </w:pPr>
    </w:p>
    <w:p w14:paraId="49D63C79">
      <w:pPr>
        <w:jc w:val="center"/>
        <w:rPr>
          <w:rFonts w:ascii="宋体" w:hAnsi="宋体" w:cs="宋体"/>
          <w:color w:val="000000" w:themeColor="text1"/>
          <w:sz w:val="44"/>
          <w:szCs w:val="44"/>
          <w:highlight w:val="none"/>
          <w14:textFill>
            <w14:solidFill>
              <w14:schemeClr w14:val="tx1"/>
            </w14:solidFill>
          </w14:textFill>
        </w:rPr>
      </w:pPr>
      <w:r>
        <w:rPr>
          <w:rFonts w:hint="eastAsia" w:ascii="宋体" w:hAnsi="宋体" w:cs="宋体"/>
          <w:color w:val="000000" w:themeColor="text1"/>
          <w:sz w:val="44"/>
          <w:szCs w:val="44"/>
          <w:highlight w:val="none"/>
          <w:lang w:eastAsia="zh-CN"/>
          <w14:textFill>
            <w14:solidFill>
              <w14:schemeClr w14:val="tx1"/>
            </w14:solidFill>
          </w14:textFill>
        </w:rPr>
        <w:t>食堂管理服务项目</w:t>
      </w:r>
      <w:r>
        <w:rPr>
          <w:rFonts w:hint="eastAsia" w:ascii="宋体" w:hAnsi="宋体" w:cs="宋体"/>
          <w:color w:val="000000" w:themeColor="text1"/>
          <w:sz w:val="44"/>
          <w:szCs w:val="44"/>
          <w:highlight w:val="none"/>
          <w14:textFill>
            <w14:solidFill>
              <w14:schemeClr w14:val="tx1"/>
            </w14:solidFill>
          </w14:textFill>
        </w:rPr>
        <w:t>（投标文件）</w:t>
      </w:r>
    </w:p>
    <w:p w14:paraId="1620B77D">
      <w:pPr>
        <w:jc w:val="center"/>
        <w:rPr>
          <w:rFonts w:ascii="宋体" w:hAnsi="宋体" w:cs="宋体"/>
          <w:color w:val="000000" w:themeColor="text1"/>
          <w:sz w:val="44"/>
          <w:szCs w:val="44"/>
          <w:highlight w:val="none"/>
          <w14:textFill>
            <w14:solidFill>
              <w14:schemeClr w14:val="tx1"/>
            </w14:solidFill>
          </w14:textFill>
        </w:rPr>
      </w:pPr>
    </w:p>
    <w:p w14:paraId="5F145631">
      <w:pPr>
        <w:jc w:val="center"/>
        <w:rPr>
          <w:rFonts w:ascii="宋体" w:hAnsi="宋体" w:cs="宋体"/>
          <w:color w:val="000000" w:themeColor="text1"/>
          <w:sz w:val="44"/>
          <w:szCs w:val="44"/>
          <w:highlight w:val="none"/>
          <w14:textFill>
            <w14:solidFill>
              <w14:schemeClr w14:val="tx1"/>
            </w14:solidFill>
          </w14:textFill>
        </w:rPr>
      </w:pPr>
    </w:p>
    <w:p w14:paraId="63EF775F">
      <w:pPr>
        <w:jc w:val="center"/>
        <w:rPr>
          <w:rFonts w:ascii="宋体" w:hAnsi="宋体" w:cs="宋体"/>
          <w:color w:val="000000" w:themeColor="text1"/>
          <w:sz w:val="44"/>
          <w:szCs w:val="44"/>
          <w:highlight w:val="none"/>
          <w14:textFill>
            <w14:solidFill>
              <w14:schemeClr w14:val="tx1"/>
            </w14:solidFill>
          </w14:textFill>
        </w:rPr>
      </w:pPr>
    </w:p>
    <w:p w14:paraId="69D74BC2">
      <w:pPr>
        <w:jc w:val="center"/>
        <w:rPr>
          <w:rFonts w:ascii="宋体" w:hAnsi="宋体" w:cs="宋体"/>
          <w:color w:val="000000" w:themeColor="text1"/>
          <w:sz w:val="44"/>
          <w:szCs w:val="44"/>
          <w:highlight w:val="none"/>
          <w14:textFill>
            <w14:solidFill>
              <w14:schemeClr w14:val="tx1"/>
            </w14:solidFill>
          </w14:textFill>
        </w:rPr>
      </w:pPr>
    </w:p>
    <w:p w14:paraId="692865F8">
      <w:pPr>
        <w:rPr>
          <w:rFonts w:ascii="宋体" w:hAnsi="宋体" w:cs="宋体"/>
          <w:color w:val="000000" w:themeColor="text1"/>
          <w:sz w:val="44"/>
          <w:szCs w:val="44"/>
          <w:highlight w:val="none"/>
          <w14:textFill>
            <w14:solidFill>
              <w14:schemeClr w14:val="tx1"/>
            </w14:solidFill>
          </w14:textFill>
        </w:rPr>
      </w:pPr>
    </w:p>
    <w:p w14:paraId="0CB4CD66">
      <w:pPr>
        <w:spacing w:line="480" w:lineRule="auto"/>
        <w:ind w:firstLine="1400" w:firstLineChars="500"/>
        <w:rPr>
          <w:rFonts w:ascii="宋体" w:hAnsi="宋体" w:cs="宋体"/>
          <w:color w:val="000000" w:themeColor="text1"/>
          <w:sz w:val="28"/>
          <w:szCs w:val="28"/>
          <w:highlight w:val="none"/>
          <w:u w:val="single"/>
          <w14:textFill>
            <w14:solidFill>
              <w14:schemeClr w14:val="tx1"/>
            </w14:solidFill>
          </w14:textFill>
        </w:rPr>
      </w:pPr>
      <w:r>
        <w:rPr>
          <w:rFonts w:hint="eastAsia" w:ascii="宋体" w:hAnsi="宋体" w:cs="宋体"/>
          <w:color w:val="000000" w:themeColor="text1"/>
          <w:sz w:val="28"/>
          <w:szCs w:val="28"/>
          <w:highlight w:val="none"/>
          <w14:textFill>
            <w14:solidFill>
              <w14:schemeClr w14:val="tx1"/>
            </w14:solidFill>
          </w14:textFill>
        </w:rPr>
        <w:t>项目编号：_____________________________</w:t>
      </w:r>
    </w:p>
    <w:p w14:paraId="797FACF8">
      <w:pPr>
        <w:spacing w:line="480" w:lineRule="auto"/>
        <w:ind w:firstLine="1400" w:firstLineChars="500"/>
        <w:rPr>
          <w:rFonts w:ascii="宋体" w:hAnsi="宋体" w:cs="宋体"/>
          <w:color w:val="000000" w:themeColor="text1"/>
          <w:sz w:val="28"/>
          <w:szCs w:val="28"/>
          <w:highlight w:val="none"/>
          <w:u w:val="single"/>
          <w14:textFill>
            <w14:solidFill>
              <w14:schemeClr w14:val="tx1"/>
            </w14:solidFill>
          </w14:textFill>
        </w:rPr>
      </w:pPr>
      <w:r>
        <w:rPr>
          <w:rFonts w:hint="eastAsia" w:ascii="宋体" w:hAnsi="宋体" w:cs="宋体"/>
          <w:color w:val="000000" w:themeColor="text1"/>
          <w:sz w:val="28"/>
          <w:szCs w:val="28"/>
          <w:highlight w:val="none"/>
          <w14:textFill>
            <w14:solidFill>
              <w14:schemeClr w14:val="tx1"/>
            </w14:solidFill>
          </w14:textFill>
        </w:rPr>
        <w:t>供应商（盖章）：___________________________</w:t>
      </w:r>
    </w:p>
    <w:p w14:paraId="255E3169">
      <w:pPr>
        <w:spacing w:line="480" w:lineRule="auto"/>
        <w:ind w:firstLine="1400" w:firstLineChars="500"/>
        <w:rPr>
          <w:rFonts w:ascii="宋体" w:hAnsi="宋体" w:cs="宋体"/>
          <w:color w:val="000000" w:themeColor="text1"/>
          <w:sz w:val="28"/>
          <w:szCs w:val="28"/>
          <w:highlight w:val="none"/>
          <w14:textFill>
            <w14:solidFill>
              <w14:schemeClr w14:val="tx1"/>
            </w14:solidFill>
          </w14:textFill>
        </w:rPr>
      </w:pPr>
      <w:r>
        <w:rPr>
          <w:rFonts w:hint="eastAsia" w:ascii="宋体" w:hAnsi="宋体" w:cs="宋体"/>
          <w:color w:val="000000" w:themeColor="text1"/>
          <w:sz w:val="28"/>
          <w:szCs w:val="28"/>
          <w:highlight w:val="none"/>
          <w14:textFill>
            <w14:solidFill>
              <w14:schemeClr w14:val="tx1"/>
            </w14:solidFill>
          </w14:textFill>
        </w:rPr>
        <w:t>法定代表人或授权委托人签字：__________________</w:t>
      </w:r>
    </w:p>
    <w:p w14:paraId="2AF15B20">
      <w:pPr>
        <w:ind w:firstLine="1400" w:firstLineChars="500"/>
        <w:jc w:val="left"/>
        <w:rPr>
          <w:rFonts w:ascii="宋体" w:hAnsi="宋体" w:cs="宋体"/>
          <w:color w:val="000000" w:themeColor="text1"/>
          <w:sz w:val="28"/>
          <w:szCs w:val="28"/>
          <w:highlight w:val="none"/>
          <w14:textFill>
            <w14:solidFill>
              <w14:schemeClr w14:val="tx1"/>
            </w14:solidFill>
          </w14:textFill>
        </w:rPr>
      </w:pPr>
      <w:r>
        <w:rPr>
          <w:rFonts w:hint="eastAsia" w:ascii="宋体" w:hAnsi="宋体" w:cs="宋体"/>
          <w:color w:val="000000" w:themeColor="text1"/>
          <w:sz w:val="28"/>
          <w:szCs w:val="28"/>
          <w:highlight w:val="none"/>
          <w14:textFill>
            <w14:solidFill>
              <w14:schemeClr w14:val="tx1"/>
            </w14:solidFill>
          </w14:textFill>
        </w:rPr>
        <w:t>投标日期：____________年_____月______日</w:t>
      </w:r>
    </w:p>
    <w:p w14:paraId="4A702800">
      <w:pPr>
        <w:pStyle w:val="22"/>
        <w:ind w:firstLine="560"/>
        <w:rPr>
          <w:rFonts w:ascii="宋体" w:hAnsi="宋体" w:cs="宋体"/>
          <w:color w:val="000000" w:themeColor="text1"/>
          <w:sz w:val="28"/>
          <w:szCs w:val="28"/>
          <w:highlight w:val="none"/>
          <w14:textFill>
            <w14:solidFill>
              <w14:schemeClr w14:val="tx1"/>
            </w14:solidFill>
          </w14:textFill>
        </w:rPr>
      </w:pPr>
    </w:p>
    <w:p w14:paraId="6C99BCD2">
      <w:pPr>
        <w:pStyle w:val="22"/>
        <w:ind w:firstLine="560"/>
        <w:rPr>
          <w:rFonts w:ascii="宋体" w:hAnsi="宋体" w:cs="宋体"/>
          <w:color w:val="000000" w:themeColor="text1"/>
          <w:sz w:val="28"/>
          <w:szCs w:val="28"/>
          <w:highlight w:val="none"/>
          <w14:textFill>
            <w14:solidFill>
              <w14:schemeClr w14:val="tx1"/>
            </w14:solidFill>
          </w14:textFill>
        </w:rPr>
      </w:pPr>
    </w:p>
    <w:p w14:paraId="7878065D">
      <w:pPr>
        <w:pStyle w:val="22"/>
        <w:ind w:firstLine="560"/>
        <w:rPr>
          <w:rFonts w:ascii="宋体" w:hAnsi="宋体" w:cs="宋体"/>
          <w:color w:val="000000" w:themeColor="text1"/>
          <w:sz w:val="28"/>
          <w:szCs w:val="28"/>
          <w:highlight w:val="none"/>
          <w14:textFill>
            <w14:solidFill>
              <w14:schemeClr w14:val="tx1"/>
            </w14:solidFill>
          </w14:textFill>
        </w:rPr>
      </w:pPr>
    </w:p>
    <w:p w14:paraId="0A1BE748">
      <w:pPr>
        <w:pStyle w:val="22"/>
        <w:ind w:firstLine="560"/>
        <w:rPr>
          <w:rFonts w:ascii="宋体" w:hAnsi="宋体" w:cs="宋体"/>
          <w:color w:val="000000" w:themeColor="text1"/>
          <w:sz w:val="28"/>
          <w:szCs w:val="28"/>
          <w:highlight w:val="none"/>
          <w14:textFill>
            <w14:solidFill>
              <w14:schemeClr w14:val="tx1"/>
            </w14:solidFill>
          </w14:textFill>
        </w:rPr>
      </w:pPr>
    </w:p>
    <w:p w14:paraId="79C90BCD">
      <w:pPr>
        <w:rPr>
          <w:rFonts w:ascii="宋体" w:hAnsi="宋体" w:cs="宋体"/>
          <w:b/>
          <w:bCs/>
          <w:color w:val="000000" w:themeColor="text1"/>
          <w:sz w:val="32"/>
          <w:szCs w:val="32"/>
          <w:highlight w:val="none"/>
          <w14:textFill>
            <w14:solidFill>
              <w14:schemeClr w14:val="tx1"/>
            </w14:solidFill>
          </w14:textFill>
        </w:rPr>
      </w:pPr>
    </w:p>
    <w:p w14:paraId="23B3F535">
      <w:pPr>
        <w:rPr>
          <w:rFonts w:ascii="宋体" w:hAnsi="宋体" w:cs="宋体"/>
          <w:b/>
          <w:bCs/>
          <w:color w:val="000000" w:themeColor="text1"/>
          <w:sz w:val="32"/>
          <w:szCs w:val="32"/>
          <w:highlight w:val="none"/>
          <w14:textFill>
            <w14:solidFill>
              <w14:schemeClr w14:val="tx1"/>
            </w14:solidFill>
          </w14:textFill>
        </w:rPr>
      </w:pPr>
      <w:r>
        <w:rPr>
          <w:rFonts w:hint="eastAsia" w:ascii="宋体" w:hAnsi="宋体" w:cs="宋体"/>
          <w:b/>
          <w:bCs/>
          <w:color w:val="000000" w:themeColor="text1"/>
          <w:sz w:val="32"/>
          <w:szCs w:val="32"/>
          <w:highlight w:val="none"/>
          <w14:textFill>
            <w14:solidFill>
              <w14:schemeClr w14:val="tx1"/>
            </w14:solidFill>
          </w14:textFill>
        </w:rPr>
        <w:br w:type="page"/>
      </w:r>
    </w:p>
    <w:p w14:paraId="2B9AC6BB">
      <w:pPr>
        <w:jc w:val="center"/>
        <w:rPr>
          <w:rFonts w:hint="eastAsia" w:ascii="宋体" w:hAnsi="宋体" w:eastAsia="宋体" w:cs="宋体"/>
          <w:bCs/>
          <w:color w:val="000000" w:themeColor="text1"/>
          <w:sz w:val="22"/>
          <w:highlight w:val="none"/>
          <w:lang w:eastAsia="zh-CN"/>
          <w14:textFill>
            <w14:solidFill>
              <w14:schemeClr w14:val="tx1"/>
            </w14:solidFill>
          </w14:textFill>
        </w:rPr>
      </w:pPr>
      <w:r>
        <w:rPr>
          <w:rFonts w:hint="eastAsia" w:ascii="宋体" w:hAnsi="宋体" w:cs="宋体"/>
          <w:b/>
          <w:bCs/>
          <w:color w:val="000000" w:themeColor="text1"/>
          <w:sz w:val="32"/>
          <w:szCs w:val="32"/>
          <w:highlight w:val="none"/>
          <w14:textFill>
            <w14:solidFill>
              <w14:schemeClr w14:val="tx1"/>
            </w14:solidFill>
          </w14:textFill>
        </w:rPr>
        <w:t>投标文件目录</w:t>
      </w:r>
      <w:r>
        <w:rPr>
          <w:rFonts w:hint="eastAsia" w:ascii="宋体" w:hAnsi="宋体" w:cs="宋体"/>
          <w:b/>
          <w:bCs/>
          <w:color w:val="000000" w:themeColor="text1"/>
          <w:sz w:val="32"/>
          <w:szCs w:val="32"/>
          <w:highlight w:val="none"/>
          <w:lang w:eastAsia="zh-CN"/>
          <w14:textFill>
            <w14:solidFill>
              <w14:schemeClr w14:val="tx1"/>
            </w14:solidFill>
          </w14:textFill>
        </w:rPr>
        <w:t>（标明页码）</w:t>
      </w:r>
    </w:p>
    <w:p w14:paraId="76D49430">
      <w:pPr>
        <w:ind w:firstLine="1100" w:firstLineChars="500"/>
        <w:jc w:val="left"/>
        <w:rPr>
          <w:rFonts w:ascii="宋体" w:hAnsi="宋体" w:cs="宋体"/>
          <w:bCs/>
          <w:color w:val="000000" w:themeColor="text1"/>
          <w:sz w:val="22"/>
          <w:highlight w:val="none"/>
          <w14:textFill>
            <w14:solidFill>
              <w14:schemeClr w14:val="tx1"/>
            </w14:solidFill>
          </w14:textFill>
        </w:rPr>
      </w:pPr>
    </w:p>
    <w:p w14:paraId="4D0A42E0">
      <w:pPr>
        <w:numPr>
          <w:ilvl w:val="0"/>
          <w:numId w:val="0"/>
        </w:numPr>
        <w:spacing w:line="360" w:lineRule="auto"/>
        <w:ind w:left="0" w:leftChars="0" w:firstLine="420" w:firstLineChars="0"/>
        <w:rPr>
          <w:rFonts w:ascii="宋体" w:hAnsi="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2"/>
          <w:sz w:val="22"/>
          <w:szCs w:val="22"/>
          <w:lang w:val="en-US" w:eastAsia="zh-CN" w:bidi="ar-SA"/>
          <w14:textFill>
            <w14:solidFill>
              <w14:schemeClr w14:val="tx1"/>
            </w14:solidFill>
          </w14:textFill>
        </w:rPr>
        <w:t>一、</w:t>
      </w:r>
      <w:r>
        <w:rPr>
          <w:rFonts w:hint="eastAsia" w:ascii="宋体" w:hAnsi="宋体" w:cs="宋体"/>
          <w:color w:val="000000" w:themeColor="text1"/>
          <w:sz w:val="22"/>
          <w:szCs w:val="22"/>
          <w:highlight w:val="none"/>
          <w14:textFill>
            <w14:solidFill>
              <w14:schemeClr w14:val="tx1"/>
            </w14:solidFill>
          </w14:textFill>
        </w:rPr>
        <w:t>评标指引表</w:t>
      </w:r>
    </w:p>
    <w:p w14:paraId="2E61F774">
      <w:pPr>
        <w:numPr>
          <w:ilvl w:val="0"/>
          <w:numId w:val="0"/>
        </w:numPr>
        <w:spacing w:line="360" w:lineRule="auto"/>
        <w:ind w:left="0" w:leftChars="0" w:firstLine="420" w:firstLineChars="0"/>
        <w:rPr>
          <w:rFonts w:ascii="宋体" w:hAnsi="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2"/>
          <w:sz w:val="22"/>
          <w:szCs w:val="22"/>
          <w:lang w:val="en-US" w:eastAsia="zh-CN" w:bidi="ar-SA"/>
          <w14:textFill>
            <w14:solidFill>
              <w14:schemeClr w14:val="tx1"/>
            </w14:solidFill>
          </w14:textFill>
        </w:rPr>
        <w:t>二、</w:t>
      </w:r>
      <w:r>
        <w:rPr>
          <w:rFonts w:hint="eastAsia" w:ascii="宋体" w:hAnsi="宋体" w:cs="宋体"/>
          <w:color w:val="000000" w:themeColor="text1"/>
          <w:sz w:val="22"/>
          <w:szCs w:val="22"/>
          <w:highlight w:val="none"/>
          <w14:textFill>
            <w14:solidFill>
              <w14:schemeClr w14:val="tx1"/>
            </w14:solidFill>
          </w14:textFill>
        </w:rPr>
        <w:t>投标函</w:t>
      </w:r>
    </w:p>
    <w:p w14:paraId="26B5B789">
      <w:pPr>
        <w:numPr>
          <w:ilvl w:val="0"/>
          <w:numId w:val="0"/>
        </w:numPr>
        <w:spacing w:line="360" w:lineRule="auto"/>
        <w:ind w:left="0" w:leftChars="0" w:firstLine="420" w:firstLineChars="0"/>
        <w:rPr>
          <w:rFonts w:ascii="宋体" w:hAnsi="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2"/>
          <w:sz w:val="22"/>
          <w:szCs w:val="22"/>
          <w:lang w:val="en-US" w:eastAsia="zh-CN" w:bidi="ar-SA"/>
          <w14:textFill>
            <w14:solidFill>
              <w14:schemeClr w14:val="tx1"/>
            </w14:solidFill>
          </w14:textFill>
        </w:rPr>
        <w:t>三、</w:t>
      </w:r>
      <w:r>
        <w:rPr>
          <w:rFonts w:hint="eastAsia" w:ascii="宋体" w:hAnsi="宋体" w:cs="宋体"/>
          <w:color w:val="000000" w:themeColor="text1"/>
          <w:sz w:val="22"/>
          <w:szCs w:val="22"/>
          <w:highlight w:val="none"/>
          <w14:textFill>
            <w14:solidFill>
              <w14:schemeClr w14:val="tx1"/>
            </w14:solidFill>
          </w14:textFill>
        </w:rPr>
        <w:t>政府采购投标及履约承诺函</w:t>
      </w:r>
    </w:p>
    <w:p w14:paraId="39EFC66F">
      <w:pPr>
        <w:numPr>
          <w:ilvl w:val="0"/>
          <w:numId w:val="0"/>
        </w:numPr>
        <w:spacing w:line="360" w:lineRule="auto"/>
        <w:ind w:left="0" w:leftChars="0" w:firstLine="420" w:firstLineChars="0"/>
        <w:rPr>
          <w:rFonts w:ascii="宋体" w:hAnsi="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2"/>
          <w:sz w:val="22"/>
          <w:szCs w:val="22"/>
          <w:lang w:val="en-US" w:eastAsia="zh-CN" w:bidi="ar-SA"/>
          <w14:textFill>
            <w14:solidFill>
              <w14:schemeClr w14:val="tx1"/>
            </w14:solidFill>
          </w14:textFill>
        </w:rPr>
        <w:t>四、</w:t>
      </w:r>
      <w:r>
        <w:rPr>
          <w:rFonts w:hint="eastAsia" w:ascii="宋体" w:hAnsi="宋体" w:cs="宋体"/>
          <w:color w:val="000000" w:themeColor="text1"/>
          <w:sz w:val="22"/>
          <w:szCs w:val="22"/>
          <w:highlight w:val="none"/>
          <w14:textFill>
            <w14:solidFill>
              <w14:schemeClr w14:val="tx1"/>
            </w14:solidFill>
          </w14:textFill>
        </w:rPr>
        <w:t>诚信承诺函</w:t>
      </w:r>
    </w:p>
    <w:p w14:paraId="3956708F">
      <w:pPr>
        <w:numPr>
          <w:ilvl w:val="0"/>
          <w:numId w:val="0"/>
        </w:numPr>
        <w:spacing w:line="360" w:lineRule="auto"/>
        <w:ind w:left="0" w:leftChars="0" w:firstLine="420" w:firstLineChars="0"/>
        <w:rPr>
          <w:rFonts w:ascii="宋体" w:hAnsi="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2"/>
          <w:sz w:val="22"/>
          <w:szCs w:val="22"/>
          <w:lang w:val="en-US" w:eastAsia="zh-CN" w:bidi="ar-SA"/>
          <w14:textFill>
            <w14:solidFill>
              <w14:schemeClr w14:val="tx1"/>
            </w14:solidFill>
          </w14:textFill>
        </w:rPr>
        <w:t>五、</w:t>
      </w:r>
      <w:r>
        <w:rPr>
          <w:rFonts w:hint="eastAsia" w:ascii="宋体" w:hAnsi="宋体" w:cs="宋体"/>
          <w:color w:val="000000" w:themeColor="text1"/>
          <w:sz w:val="22"/>
          <w:szCs w:val="22"/>
          <w:highlight w:val="none"/>
          <w14:textFill>
            <w14:solidFill>
              <w14:schemeClr w14:val="tx1"/>
            </w14:solidFill>
          </w14:textFill>
        </w:rPr>
        <w:t>政府采购违法行为风险知悉确认书</w:t>
      </w:r>
    </w:p>
    <w:p w14:paraId="4E1737CA">
      <w:pPr>
        <w:numPr>
          <w:ilvl w:val="0"/>
          <w:numId w:val="0"/>
        </w:numPr>
        <w:spacing w:line="360" w:lineRule="auto"/>
        <w:ind w:left="0" w:leftChars="0" w:firstLine="420" w:firstLineChars="0"/>
        <w:rPr>
          <w:rFonts w:ascii="宋体" w:hAnsi="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2"/>
          <w:sz w:val="22"/>
          <w:szCs w:val="22"/>
          <w:lang w:val="en-US" w:eastAsia="zh-CN" w:bidi="ar-SA"/>
          <w14:textFill>
            <w14:solidFill>
              <w14:schemeClr w14:val="tx1"/>
            </w14:solidFill>
          </w14:textFill>
        </w:rPr>
        <w:t>六、</w:t>
      </w:r>
      <w:r>
        <w:rPr>
          <w:rFonts w:hint="eastAsia" w:ascii="宋体" w:hAnsi="宋体" w:cs="宋体"/>
          <w:color w:val="000000" w:themeColor="text1"/>
          <w:sz w:val="22"/>
          <w:szCs w:val="22"/>
          <w:highlight w:val="none"/>
          <w14:textFill>
            <w14:solidFill>
              <w14:schemeClr w14:val="tx1"/>
            </w14:solidFill>
          </w14:textFill>
        </w:rPr>
        <w:t>法定代表人证明书</w:t>
      </w:r>
    </w:p>
    <w:p w14:paraId="00EEEAFC">
      <w:pPr>
        <w:numPr>
          <w:ilvl w:val="0"/>
          <w:numId w:val="0"/>
        </w:numPr>
        <w:spacing w:line="360" w:lineRule="auto"/>
        <w:ind w:left="0" w:leftChars="0" w:firstLine="420" w:firstLineChars="0"/>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2"/>
          <w:sz w:val="22"/>
          <w:szCs w:val="22"/>
          <w:lang w:val="en-US" w:eastAsia="zh-CN" w:bidi="ar-SA"/>
          <w14:textFill>
            <w14:solidFill>
              <w14:schemeClr w14:val="tx1"/>
            </w14:solidFill>
          </w14:textFill>
        </w:rPr>
        <w:t>七、</w:t>
      </w:r>
      <w:r>
        <w:rPr>
          <w:rFonts w:hint="eastAsia" w:ascii="宋体" w:hAnsi="宋体" w:cs="宋体"/>
          <w:color w:val="000000" w:themeColor="text1"/>
          <w:sz w:val="22"/>
          <w:szCs w:val="22"/>
          <w:highlight w:val="none"/>
          <w14:textFill>
            <w14:solidFill>
              <w14:schemeClr w14:val="tx1"/>
            </w14:solidFill>
          </w14:textFill>
        </w:rPr>
        <w:t>法定代表人授权书</w:t>
      </w:r>
    </w:p>
    <w:p w14:paraId="5A076576">
      <w:pPr>
        <w:numPr>
          <w:ilvl w:val="0"/>
          <w:numId w:val="0"/>
        </w:numPr>
        <w:spacing w:line="360" w:lineRule="auto"/>
        <w:ind w:left="0" w:leftChars="0" w:firstLine="420" w:firstLineChars="0"/>
        <w:rPr>
          <w:rFonts w:hint="default"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八、供应商基本情况表</w:t>
      </w:r>
    </w:p>
    <w:p w14:paraId="0BE36E73">
      <w:pPr>
        <w:numPr>
          <w:ilvl w:val="0"/>
          <w:numId w:val="0"/>
        </w:numPr>
        <w:spacing w:line="360" w:lineRule="auto"/>
        <w:ind w:left="0" w:leftChars="0" w:firstLine="420" w:firstLineChars="0"/>
        <w:rPr>
          <w:rFonts w:ascii="宋体" w:hAnsi="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2"/>
          <w:sz w:val="22"/>
          <w:szCs w:val="22"/>
          <w:lang w:val="en-US" w:eastAsia="zh-CN" w:bidi="ar-SA"/>
          <w14:textFill>
            <w14:solidFill>
              <w14:schemeClr w14:val="tx1"/>
            </w14:solidFill>
          </w14:textFill>
        </w:rPr>
        <w:t>八、</w:t>
      </w:r>
      <w:r>
        <w:rPr>
          <w:rFonts w:hint="eastAsia" w:ascii="宋体" w:hAnsi="宋体" w:cs="宋体"/>
          <w:color w:val="000000" w:themeColor="text1"/>
          <w:sz w:val="22"/>
          <w:szCs w:val="22"/>
          <w:highlight w:val="none"/>
          <w14:textFill>
            <w14:solidFill>
              <w14:schemeClr w14:val="tx1"/>
            </w14:solidFill>
          </w14:textFill>
        </w:rPr>
        <w:t>招标代理服务费承诺函</w:t>
      </w:r>
    </w:p>
    <w:p w14:paraId="61955177">
      <w:pPr>
        <w:numPr>
          <w:ilvl w:val="0"/>
          <w:numId w:val="0"/>
        </w:numPr>
        <w:spacing w:line="360" w:lineRule="auto"/>
        <w:ind w:left="0" w:leftChars="0" w:firstLine="420" w:firstLineChars="0"/>
        <w:rPr>
          <w:rFonts w:ascii="宋体" w:hAnsi="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2"/>
          <w:sz w:val="22"/>
          <w:szCs w:val="22"/>
          <w:lang w:val="en-US" w:eastAsia="zh-CN" w:bidi="ar-SA"/>
          <w14:textFill>
            <w14:solidFill>
              <w14:schemeClr w14:val="tx1"/>
            </w14:solidFill>
          </w14:textFill>
        </w:rPr>
        <w:t>九、</w:t>
      </w:r>
      <w:r>
        <w:rPr>
          <w:rFonts w:hint="eastAsia" w:ascii="宋体" w:hAnsi="宋体" w:cs="宋体"/>
          <w:color w:val="000000" w:themeColor="text1"/>
          <w:sz w:val="22"/>
          <w:szCs w:val="22"/>
          <w:highlight w:val="none"/>
          <w14:textFill>
            <w14:solidFill>
              <w14:schemeClr w14:val="tx1"/>
            </w14:solidFill>
          </w14:textFill>
        </w:rPr>
        <w:t>报价清单表</w:t>
      </w:r>
    </w:p>
    <w:p w14:paraId="62508006">
      <w:pPr>
        <w:numPr>
          <w:ilvl w:val="0"/>
          <w:numId w:val="0"/>
        </w:numPr>
        <w:spacing w:line="360" w:lineRule="auto"/>
        <w:ind w:left="0" w:leftChars="0" w:firstLine="420" w:firstLineChars="0"/>
        <w:rPr>
          <w:rFonts w:ascii="宋体" w:hAnsi="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2"/>
          <w:sz w:val="22"/>
          <w:szCs w:val="22"/>
          <w:lang w:val="en-US" w:eastAsia="zh-CN" w:bidi="ar-SA"/>
          <w14:textFill>
            <w14:solidFill>
              <w14:schemeClr w14:val="tx1"/>
            </w14:solidFill>
          </w14:textFill>
        </w:rPr>
        <w:t>十、</w:t>
      </w:r>
      <w:r>
        <w:rPr>
          <w:rFonts w:hint="eastAsia" w:ascii="宋体" w:hAnsi="宋体" w:cs="宋体"/>
          <w:color w:val="000000" w:themeColor="text1"/>
          <w:sz w:val="22"/>
          <w:szCs w:val="22"/>
          <w:highlight w:val="none"/>
          <w14:textFill>
            <w14:solidFill>
              <w14:schemeClr w14:val="tx1"/>
            </w14:solidFill>
          </w14:textFill>
        </w:rPr>
        <w:t>供应商情况介绍</w:t>
      </w:r>
    </w:p>
    <w:p w14:paraId="6F776197">
      <w:pPr>
        <w:numPr>
          <w:ilvl w:val="0"/>
          <w:numId w:val="0"/>
        </w:numPr>
        <w:spacing w:line="360" w:lineRule="auto"/>
        <w:ind w:left="0" w:leftChars="0" w:firstLine="420" w:firstLineChars="0"/>
        <w:rPr>
          <w:rFonts w:ascii="宋体" w:hAnsi="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2"/>
          <w:sz w:val="22"/>
          <w:szCs w:val="22"/>
          <w:lang w:val="en-US" w:eastAsia="zh-CN" w:bidi="ar-SA"/>
          <w14:textFill>
            <w14:solidFill>
              <w14:schemeClr w14:val="tx1"/>
            </w14:solidFill>
          </w14:textFill>
        </w:rPr>
        <w:t>十一、</w:t>
      </w:r>
      <w:r>
        <w:rPr>
          <w:rFonts w:hint="eastAsia" w:ascii="宋体" w:hAnsi="宋体" w:cs="宋体"/>
          <w:color w:val="000000" w:themeColor="text1"/>
          <w:sz w:val="22"/>
          <w:szCs w:val="22"/>
          <w:highlight w:val="none"/>
          <w14:textFill>
            <w14:solidFill>
              <w14:schemeClr w14:val="tx1"/>
            </w14:solidFill>
          </w14:textFill>
        </w:rPr>
        <w:t>商务条款偏离表</w:t>
      </w:r>
    </w:p>
    <w:p w14:paraId="566204FA">
      <w:pPr>
        <w:numPr>
          <w:ilvl w:val="0"/>
          <w:numId w:val="0"/>
        </w:numPr>
        <w:spacing w:line="360" w:lineRule="auto"/>
        <w:ind w:left="0" w:leftChars="0" w:firstLine="420" w:firstLineChars="0"/>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2"/>
          <w:sz w:val="22"/>
          <w:szCs w:val="22"/>
          <w:lang w:val="en-US" w:eastAsia="zh-CN" w:bidi="ar-SA"/>
          <w14:textFill>
            <w14:solidFill>
              <w14:schemeClr w14:val="tx1"/>
            </w14:solidFill>
          </w14:textFill>
        </w:rPr>
        <w:t>十二、</w:t>
      </w:r>
      <w:r>
        <w:rPr>
          <w:rFonts w:hint="eastAsia" w:ascii="宋体" w:hAnsi="宋体" w:cs="宋体"/>
          <w:color w:val="000000" w:themeColor="text1"/>
          <w:sz w:val="22"/>
          <w:szCs w:val="22"/>
          <w:highlight w:val="none"/>
          <w14:textFill>
            <w14:solidFill>
              <w14:schemeClr w14:val="tx1"/>
            </w14:solidFill>
          </w14:textFill>
        </w:rPr>
        <w:t>服务要求偏离表</w:t>
      </w:r>
    </w:p>
    <w:p w14:paraId="01ECBD39">
      <w:pPr>
        <w:numPr>
          <w:ilvl w:val="0"/>
          <w:numId w:val="0"/>
        </w:numPr>
        <w:spacing w:line="360" w:lineRule="auto"/>
        <w:ind w:left="0" w:leftChars="0" w:firstLine="420" w:firstLineChars="0"/>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十四、认证情况</w:t>
      </w:r>
    </w:p>
    <w:p w14:paraId="51324F7F">
      <w:pPr>
        <w:numPr>
          <w:ilvl w:val="0"/>
          <w:numId w:val="0"/>
        </w:numPr>
        <w:spacing w:line="360" w:lineRule="auto"/>
        <w:ind w:left="0" w:leftChars="0" w:firstLine="420" w:firstLineChars="0"/>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十五、同类业绩</w:t>
      </w:r>
    </w:p>
    <w:p w14:paraId="0F4755BA">
      <w:pPr>
        <w:numPr>
          <w:ilvl w:val="0"/>
          <w:numId w:val="0"/>
        </w:numPr>
        <w:spacing w:line="360" w:lineRule="auto"/>
        <w:ind w:left="0" w:leftChars="0" w:firstLine="420" w:firstLineChars="0"/>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十六、履约评价</w:t>
      </w:r>
    </w:p>
    <w:p w14:paraId="2703EEFC">
      <w:pPr>
        <w:numPr>
          <w:ilvl w:val="0"/>
          <w:numId w:val="0"/>
        </w:numPr>
        <w:spacing w:line="360" w:lineRule="auto"/>
        <w:ind w:left="0" w:leftChars="0" w:firstLine="420" w:firstLineChars="0"/>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十七、相关保险</w:t>
      </w:r>
    </w:p>
    <w:p w14:paraId="1D79EADF">
      <w:pPr>
        <w:numPr>
          <w:ilvl w:val="0"/>
          <w:numId w:val="0"/>
        </w:numPr>
        <w:spacing w:line="360" w:lineRule="auto"/>
        <w:ind w:left="0" w:leftChars="0" w:firstLine="420" w:firstLineChars="0"/>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十八、服务组织方案</w:t>
      </w:r>
    </w:p>
    <w:p w14:paraId="0B67FBCE">
      <w:pPr>
        <w:numPr>
          <w:ilvl w:val="0"/>
          <w:numId w:val="0"/>
        </w:numPr>
        <w:spacing w:line="360" w:lineRule="auto"/>
        <w:ind w:left="0" w:leftChars="0" w:firstLine="420" w:firstLineChars="0"/>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十九、服务质量保证措施</w:t>
      </w:r>
    </w:p>
    <w:p w14:paraId="76514114">
      <w:pPr>
        <w:numPr>
          <w:ilvl w:val="0"/>
          <w:numId w:val="0"/>
        </w:numPr>
        <w:spacing w:line="360" w:lineRule="auto"/>
        <w:ind w:left="0" w:leftChars="0" w:firstLine="420" w:firstLineChars="0"/>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二十、应急方案</w:t>
      </w:r>
    </w:p>
    <w:p w14:paraId="0411DE21">
      <w:pPr>
        <w:numPr>
          <w:ilvl w:val="0"/>
          <w:numId w:val="0"/>
        </w:numPr>
        <w:spacing w:line="360" w:lineRule="auto"/>
        <w:ind w:left="0" w:leftChars="0" w:firstLine="420" w:firstLineChars="0"/>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二十一、卫生管理和保障制度</w:t>
      </w:r>
    </w:p>
    <w:p w14:paraId="635443AB">
      <w:pPr>
        <w:numPr>
          <w:ilvl w:val="0"/>
          <w:numId w:val="0"/>
        </w:numPr>
        <w:spacing w:line="360" w:lineRule="auto"/>
        <w:ind w:left="0" w:leftChars="0" w:firstLine="420" w:firstLineChars="0"/>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二十二、项目负责人（仅1人）</w:t>
      </w:r>
    </w:p>
    <w:p w14:paraId="36779066">
      <w:pPr>
        <w:numPr>
          <w:ilvl w:val="0"/>
          <w:numId w:val="0"/>
        </w:numPr>
        <w:spacing w:line="360" w:lineRule="auto"/>
        <w:ind w:left="0" w:leftChars="0" w:firstLine="420" w:firstLineChars="0"/>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二十三、拟派项目团队人员情况（项目负责人除外）-主厨</w:t>
      </w:r>
    </w:p>
    <w:p w14:paraId="5BE4AE6D">
      <w:pPr>
        <w:numPr>
          <w:ilvl w:val="0"/>
          <w:numId w:val="0"/>
        </w:numPr>
        <w:spacing w:line="360" w:lineRule="auto"/>
        <w:ind w:left="0" w:leftChars="0" w:firstLine="420" w:firstLineChars="0"/>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二十四、二十四、拟派项目团队人员情况（项目负责人、主厨除外）-大厨</w:t>
      </w:r>
    </w:p>
    <w:p w14:paraId="0CDFDFE4">
      <w:pPr>
        <w:numPr>
          <w:ilvl w:val="0"/>
          <w:numId w:val="0"/>
        </w:numPr>
        <w:spacing w:line="360" w:lineRule="auto"/>
        <w:ind w:left="0" w:leftChars="0" w:firstLine="420" w:firstLineChars="0"/>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二十五、拟派项目团队人员情况其他团队成员（不含项目负责人、主厨、大厨）</w:t>
      </w:r>
    </w:p>
    <w:p w14:paraId="1A3C291D">
      <w:pPr>
        <w:numPr>
          <w:ilvl w:val="0"/>
          <w:numId w:val="0"/>
        </w:numPr>
        <w:spacing w:line="360" w:lineRule="auto"/>
        <w:ind w:left="0" w:leftChars="0" w:firstLine="420" w:firstLineChars="0"/>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二十</w:t>
      </w:r>
      <w:r>
        <w:rPr>
          <w:rFonts w:hint="eastAsia" w:ascii="宋体" w:hAnsi="宋体" w:cs="宋体"/>
          <w:color w:val="000000" w:themeColor="text1"/>
          <w:sz w:val="22"/>
          <w:szCs w:val="22"/>
          <w:highlight w:val="none"/>
          <w:lang w:val="en-US" w:eastAsia="zh-CN"/>
          <w14:textFill>
            <w14:solidFill>
              <w14:schemeClr w14:val="tx1"/>
            </w14:solidFill>
          </w14:textFill>
        </w:rPr>
        <w:t>六</w:t>
      </w:r>
      <w:r>
        <w:rPr>
          <w:rFonts w:hint="eastAsia" w:ascii="宋体" w:hAnsi="宋体" w:cs="宋体"/>
          <w:color w:val="000000" w:themeColor="text1"/>
          <w:sz w:val="22"/>
          <w:szCs w:val="22"/>
          <w:highlight w:val="none"/>
          <w14:textFill>
            <w14:solidFill>
              <w14:schemeClr w14:val="tx1"/>
            </w14:solidFill>
          </w14:textFill>
        </w:rPr>
        <w:t>、项目组织管理承诺</w:t>
      </w:r>
    </w:p>
    <w:p w14:paraId="6C1E3970">
      <w:pPr>
        <w:numPr>
          <w:ilvl w:val="0"/>
          <w:numId w:val="0"/>
        </w:numPr>
        <w:spacing w:line="360" w:lineRule="auto"/>
        <w:ind w:left="0" w:leftChars="0" w:firstLine="420" w:firstLineChars="0"/>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二十</w:t>
      </w:r>
      <w:r>
        <w:rPr>
          <w:rFonts w:hint="eastAsia" w:ascii="宋体" w:hAnsi="宋体" w:cs="宋体"/>
          <w:color w:val="000000" w:themeColor="text1"/>
          <w:sz w:val="22"/>
          <w:szCs w:val="22"/>
          <w:highlight w:val="none"/>
          <w:lang w:val="en-US" w:eastAsia="zh-CN"/>
          <w14:textFill>
            <w14:solidFill>
              <w14:schemeClr w14:val="tx1"/>
            </w14:solidFill>
          </w14:textFill>
        </w:rPr>
        <w:t>七</w:t>
      </w:r>
      <w:r>
        <w:rPr>
          <w:rFonts w:hint="eastAsia" w:ascii="宋体" w:hAnsi="宋体" w:eastAsia="宋体" w:cs="宋体"/>
          <w:color w:val="000000" w:themeColor="text1"/>
          <w:kern w:val="2"/>
          <w:sz w:val="22"/>
          <w:szCs w:val="22"/>
          <w:lang w:val="en-US" w:eastAsia="zh-CN" w:bidi="ar-SA"/>
          <w14:textFill>
            <w14:solidFill>
              <w14:schemeClr w14:val="tx1"/>
            </w14:solidFill>
          </w14:textFill>
        </w:rPr>
        <w:t>、</w:t>
      </w:r>
      <w:r>
        <w:rPr>
          <w:rFonts w:hint="eastAsia" w:ascii="宋体" w:hAnsi="宋体" w:eastAsia="宋体" w:cs="宋体"/>
          <w:color w:val="000000" w:themeColor="text1"/>
          <w:sz w:val="22"/>
          <w:szCs w:val="22"/>
          <w:highlight w:val="none"/>
          <w14:textFill>
            <w14:solidFill>
              <w14:schemeClr w14:val="tx1"/>
            </w14:solidFill>
          </w14:textFill>
        </w:rPr>
        <w:t>中小企业、残疾人福利性单位和监狱企业政策导向</w:t>
      </w:r>
    </w:p>
    <w:p w14:paraId="3D64440E">
      <w:pPr>
        <w:numPr>
          <w:ilvl w:val="0"/>
          <w:numId w:val="0"/>
        </w:numPr>
        <w:spacing w:line="360" w:lineRule="auto"/>
        <w:ind w:left="0" w:leftChars="0" w:firstLine="420" w:firstLineChars="0"/>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二十</w:t>
      </w:r>
      <w:r>
        <w:rPr>
          <w:rFonts w:hint="eastAsia" w:ascii="宋体" w:hAnsi="宋体" w:cs="宋体"/>
          <w:color w:val="000000" w:themeColor="text1"/>
          <w:sz w:val="22"/>
          <w:szCs w:val="22"/>
          <w:highlight w:val="none"/>
          <w:lang w:val="en-US" w:eastAsia="zh-CN"/>
          <w14:textFill>
            <w14:solidFill>
              <w14:schemeClr w14:val="tx1"/>
            </w14:solidFill>
          </w14:textFill>
        </w:rPr>
        <w:t>八</w:t>
      </w:r>
      <w:r>
        <w:rPr>
          <w:rFonts w:hint="eastAsia" w:ascii="宋体" w:hAnsi="宋体" w:eastAsia="宋体" w:cs="宋体"/>
          <w:color w:val="000000" w:themeColor="text1"/>
          <w:kern w:val="2"/>
          <w:sz w:val="22"/>
          <w:szCs w:val="22"/>
          <w:lang w:val="en-US" w:eastAsia="zh-CN" w:bidi="ar-SA"/>
          <w14:textFill>
            <w14:solidFill>
              <w14:schemeClr w14:val="tx1"/>
            </w14:solidFill>
          </w14:textFill>
        </w:rPr>
        <w:t>、</w:t>
      </w:r>
      <w:r>
        <w:rPr>
          <w:rFonts w:hint="eastAsia" w:ascii="宋体" w:hAnsi="宋体" w:eastAsia="宋体" w:cs="宋体"/>
          <w:color w:val="000000" w:themeColor="text1"/>
          <w:sz w:val="22"/>
          <w:szCs w:val="22"/>
          <w:highlight w:val="none"/>
          <w14:textFill>
            <w14:solidFill>
              <w14:schemeClr w14:val="tx1"/>
            </w14:solidFill>
          </w14:textFill>
        </w:rPr>
        <w:t>招标文件要求的其他内容及投标人认为需要加以说明的其他内容</w:t>
      </w:r>
    </w:p>
    <w:p w14:paraId="0A540D29">
      <w:pPr>
        <w:numPr>
          <w:ilvl w:val="0"/>
          <w:numId w:val="0"/>
        </w:numPr>
        <w:ind w:left="420" w:leftChars="0" w:firstLine="0" w:firstLineChars="0"/>
        <w:jc w:val="center"/>
        <w:outlineLvl w:val="3"/>
        <w:rPr>
          <w:rFonts w:ascii="宋体" w:hAnsi="宋体" w:cs="宋体"/>
          <w:b/>
          <w:bCs/>
          <w:color w:val="000000" w:themeColor="text1"/>
          <w:sz w:val="32"/>
          <w:szCs w:val="32"/>
          <w:highlight w:val="none"/>
          <w14:textFill>
            <w14:solidFill>
              <w14:schemeClr w14:val="tx1"/>
            </w14:solidFill>
          </w14:textFill>
        </w:rPr>
      </w:pPr>
      <w:r>
        <w:rPr>
          <w:rFonts w:hint="eastAsia" w:ascii="宋体" w:hAnsi="宋体" w:cs="宋体"/>
          <w:bCs/>
          <w:color w:val="000000" w:themeColor="text1"/>
          <w:kern w:val="28"/>
          <w:sz w:val="44"/>
          <w:szCs w:val="44"/>
          <w:highlight w:val="none"/>
          <w14:textFill>
            <w14:solidFill>
              <w14:schemeClr w14:val="tx1"/>
            </w14:solidFill>
          </w14:textFill>
        </w:rPr>
        <w:br w:type="page"/>
      </w:r>
      <w:r>
        <w:rPr>
          <w:rFonts w:hint="eastAsia" w:ascii="宋体" w:hAnsi="宋体" w:eastAsia="宋体" w:cs="宋体"/>
          <w:b/>
          <w:bCs/>
          <w:color w:val="000000" w:themeColor="text1"/>
          <w:kern w:val="2"/>
          <w:sz w:val="32"/>
          <w:szCs w:val="32"/>
          <w:highlight w:val="none"/>
          <w:lang w:val="en-US" w:eastAsia="zh-CN" w:bidi="ar-SA"/>
          <w14:textFill>
            <w14:solidFill>
              <w14:schemeClr w14:val="tx1"/>
            </w14:solidFill>
          </w14:textFill>
        </w:rPr>
        <w:t>一、</w:t>
      </w:r>
      <w:r>
        <w:rPr>
          <w:rFonts w:hint="eastAsia" w:ascii="宋体" w:hAnsi="宋体" w:cs="宋体"/>
          <w:b/>
          <w:bCs/>
          <w:color w:val="000000" w:themeColor="text1"/>
          <w:sz w:val="32"/>
          <w:szCs w:val="32"/>
          <w:highlight w:val="none"/>
          <w14:textFill>
            <w14:solidFill>
              <w14:schemeClr w14:val="tx1"/>
            </w14:solidFill>
          </w14:textFill>
        </w:rPr>
        <w:t>评标指引表</w:t>
      </w:r>
    </w:p>
    <w:p w14:paraId="7032BC5E">
      <w:pPr>
        <w:jc w:val="center"/>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（置于投标文件的首页）</w:t>
      </w:r>
    </w:p>
    <w:p w14:paraId="55E8884B">
      <w:pPr>
        <w:jc w:val="center"/>
        <w:rPr>
          <w:rFonts w:ascii="宋体" w:hAnsi="宋体" w:cs="宋体"/>
          <w:b/>
          <w:color w:val="000000" w:themeColor="text1"/>
          <w:sz w:val="22"/>
          <w:szCs w:val="22"/>
          <w:highlight w:val="none"/>
          <w14:textFill>
            <w14:solidFill>
              <w14:schemeClr w14:val="tx1"/>
            </w14:solidFill>
          </w14:textFill>
        </w:rPr>
      </w:pPr>
    </w:p>
    <w:p w14:paraId="0E384DB7">
      <w:pPr>
        <w:ind w:firstLine="440" w:firstLineChars="200"/>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为方便参与该项目的评委专家的评标，快速找到评标事项与该项目投标文件所对应的位置，请投标人参照下表格式，编制本项目评标指引表。</w:t>
      </w:r>
    </w:p>
    <w:p w14:paraId="3911308B">
      <w:pPr>
        <w:jc w:val="center"/>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评标指引表</w:t>
      </w:r>
    </w:p>
    <w:tbl>
      <w:tblPr>
        <w:tblStyle w:val="23"/>
        <w:tblW w:w="83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1"/>
        <w:gridCol w:w="2947"/>
        <w:gridCol w:w="1014"/>
        <w:gridCol w:w="1371"/>
        <w:gridCol w:w="1106"/>
        <w:gridCol w:w="1201"/>
      </w:tblGrid>
      <w:tr w14:paraId="01AE8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trPr>
        <w:tc>
          <w:tcPr>
            <w:tcW w:w="8340" w:type="dxa"/>
            <w:gridSpan w:val="6"/>
          </w:tcPr>
          <w:p w14:paraId="475DE1AC">
            <w:pPr>
              <w:jc w:val="center"/>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一、资格性审查指引</w:t>
            </w:r>
          </w:p>
        </w:tc>
      </w:tr>
      <w:tr w14:paraId="4A264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trPr>
        <w:tc>
          <w:tcPr>
            <w:tcW w:w="701" w:type="dxa"/>
          </w:tcPr>
          <w:p w14:paraId="30DBD1CE">
            <w:pPr>
              <w:jc w:val="center"/>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序号</w:t>
            </w:r>
          </w:p>
        </w:tc>
        <w:tc>
          <w:tcPr>
            <w:tcW w:w="2947" w:type="dxa"/>
            <w:vAlign w:val="center"/>
          </w:tcPr>
          <w:p w14:paraId="13FFE1EE">
            <w:pPr>
              <w:jc w:val="center"/>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资格性审查项目</w:t>
            </w:r>
          </w:p>
        </w:tc>
        <w:tc>
          <w:tcPr>
            <w:tcW w:w="3491" w:type="dxa"/>
            <w:gridSpan w:val="3"/>
            <w:vAlign w:val="center"/>
          </w:tcPr>
          <w:p w14:paraId="621D8204">
            <w:pPr>
              <w:jc w:val="center"/>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证明文件</w:t>
            </w:r>
          </w:p>
        </w:tc>
        <w:tc>
          <w:tcPr>
            <w:tcW w:w="1201" w:type="dxa"/>
            <w:vAlign w:val="center"/>
          </w:tcPr>
          <w:p w14:paraId="526EF2E6">
            <w:pPr>
              <w:jc w:val="center"/>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起止页码</w:t>
            </w:r>
          </w:p>
        </w:tc>
      </w:tr>
      <w:tr w14:paraId="69FB3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trPr>
        <w:tc>
          <w:tcPr>
            <w:tcW w:w="701" w:type="dxa"/>
          </w:tcPr>
          <w:p w14:paraId="3259C9DC">
            <w:pPr>
              <w:jc w:val="center"/>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1</w:t>
            </w:r>
          </w:p>
        </w:tc>
        <w:tc>
          <w:tcPr>
            <w:tcW w:w="2947" w:type="dxa"/>
            <w:vAlign w:val="center"/>
          </w:tcPr>
          <w:p w14:paraId="60BEC392">
            <w:pPr>
              <w:jc w:val="center"/>
              <w:rPr>
                <w:rFonts w:ascii="宋体" w:hAnsi="宋体" w:cs="宋体"/>
                <w:b/>
                <w:color w:val="000000" w:themeColor="text1"/>
                <w:sz w:val="22"/>
                <w:szCs w:val="22"/>
                <w:highlight w:val="none"/>
                <w14:textFill>
                  <w14:solidFill>
                    <w14:schemeClr w14:val="tx1"/>
                  </w14:solidFill>
                </w14:textFill>
              </w:rPr>
            </w:pPr>
          </w:p>
        </w:tc>
        <w:tc>
          <w:tcPr>
            <w:tcW w:w="3491" w:type="dxa"/>
            <w:gridSpan w:val="3"/>
            <w:vAlign w:val="center"/>
          </w:tcPr>
          <w:p w14:paraId="74335677">
            <w:pPr>
              <w:jc w:val="center"/>
              <w:rPr>
                <w:rFonts w:ascii="宋体" w:hAnsi="宋体" w:cs="宋体"/>
                <w:b/>
                <w:color w:val="000000" w:themeColor="text1"/>
                <w:sz w:val="22"/>
                <w:szCs w:val="22"/>
                <w:highlight w:val="none"/>
                <w14:textFill>
                  <w14:solidFill>
                    <w14:schemeClr w14:val="tx1"/>
                  </w14:solidFill>
                </w14:textFill>
              </w:rPr>
            </w:pPr>
          </w:p>
        </w:tc>
        <w:tc>
          <w:tcPr>
            <w:tcW w:w="1201" w:type="dxa"/>
            <w:vAlign w:val="center"/>
          </w:tcPr>
          <w:p w14:paraId="1DE68F63">
            <w:pPr>
              <w:jc w:val="center"/>
              <w:rPr>
                <w:rFonts w:ascii="宋体" w:hAnsi="宋体" w:cs="宋体"/>
                <w:b/>
                <w:color w:val="000000" w:themeColor="text1"/>
                <w:sz w:val="22"/>
                <w:szCs w:val="22"/>
                <w:highlight w:val="none"/>
                <w14:textFill>
                  <w14:solidFill>
                    <w14:schemeClr w14:val="tx1"/>
                  </w14:solidFill>
                </w14:textFill>
              </w:rPr>
            </w:pPr>
          </w:p>
        </w:tc>
      </w:tr>
      <w:tr w14:paraId="5751D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trPr>
        <w:tc>
          <w:tcPr>
            <w:tcW w:w="701" w:type="dxa"/>
          </w:tcPr>
          <w:p w14:paraId="6CED9410">
            <w:pPr>
              <w:jc w:val="center"/>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2</w:t>
            </w:r>
          </w:p>
        </w:tc>
        <w:tc>
          <w:tcPr>
            <w:tcW w:w="2947" w:type="dxa"/>
            <w:vAlign w:val="center"/>
          </w:tcPr>
          <w:p w14:paraId="1097C7A8">
            <w:pPr>
              <w:jc w:val="center"/>
              <w:rPr>
                <w:rFonts w:ascii="宋体" w:hAnsi="宋体" w:cs="宋体"/>
                <w:b/>
                <w:color w:val="000000" w:themeColor="text1"/>
                <w:sz w:val="22"/>
                <w:szCs w:val="22"/>
                <w:highlight w:val="none"/>
                <w14:textFill>
                  <w14:solidFill>
                    <w14:schemeClr w14:val="tx1"/>
                  </w14:solidFill>
                </w14:textFill>
              </w:rPr>
            </w:pPr>
          </w:p>
        </w:tc>
        <w:tc>
          <w:tcPr>
            <w:tcW w:w="3491" w:type="dxa"/>
            <w:gridSpan w:val="3"/>
            <w:vAlign w:val="center"/>
          </w:tcPr>
          <w:p w14:paraId="01F3B1DE">
            <w:pPr>
              <w:jc w:val="center"/>
              <w:rPr>
                <w:rFonts w:ascii="宋体" w:hAnsi="宋体" w:cs="宋体"/>
                <w:b/>
                <w:color w:val="000000" w:themeColor="text1"/>
                <w:sz w:val="22"/>
                <w:szCs w:val="22"/>
                <w:highlight w:val="none"/>
                <w14:textFill>
                  <w14:solidFill>
                    <w14:schemeClr w14:val="tx1"/>
                  </w14:solidFill>
                </w14:textFill>
              </w:rPr>
            </w:pPr>
          </w:p>
        </w:tc>
        <w:tc>
          <w:tcPr>
            <w:tcW w:w="1201" w:type="dxa"/>
            <w:vAlign w:val="center"/>
          </w:tcPr>
          <w:p w14:paraId="723330B1">
            <w:pPr>
              <w:jc w:val="center"/>
              <w:rPr>
                <w:rFonts w:ascii="宋体" w:hAnsi="宋体" w:cs="宋体"/>
                <w:b/>
                <w:color w:val="000000" w:themeColor="text1"/>
                <w:sz w:val="22"/>
                <w:szCs w:val="22"/>
                <w:highlight w:val="none"/>
                <w14:textFill>
                  <w14:solidFill>
                    <w14:schemeClr w14:val="tx1"/>
                  </w14:solidFill>
                </w14:textFill>
              </w:rPr>
            </w:pPr>
          </w:p>
        </w:tc>
      </w:tr>
      <w:tr w14:paraId="1486F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trPr>
        <w:tc>
          <w:tcPr>
            <w:tcW w:w="701" w:type="dxa"/>
          </w:tcPr>
          <w:p w14:paraId="22953533">
            <w:pPr>
              <w:jc w:val="center"/>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w:t>
            </w:r>
          </w:p>
        </w:tc>
        <w:tc>
          <w:tcPr>
            <w:tcW w:w="2947" w:type="dxa"/>
            <w:vAlign w:val="center"/>
          </w:tcPr>
          <w:p w14:paraId="2B074DF4">
            <w:pPr>
              <w:jc w:val="center"/>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w:t>
            </w:r>
          </w:p>
        </w:tc>
        <w:tc>
          <w:tcPr>
            <w:tcW w:w="3491" w:type="dxa"/>
            <w:gridSpan w:val="3"/>
            <w:vAlign w:val="center"/>
          </w:tcPr>
          <w:p w14:paraId="62E0B828">
            <w:pPr>
              <w:jc w:val="center"/>
              <w:rPr>
                <w:rFonts w:ascii="宋体" w:hAnsi="宋体" w:cs="宋体"/>
                <w:b/>
                <w:color w:val="000000" w:themeColor="text1"/>
                <w:sz w:val="22"/>
                <w:szCs w:val="22"/>
                <w:highlight w:val="none"/>
                <w14:textFill>
                  <w14:solidFill>
                    <w14:schemeClr w14:val="tx1"/>
                  </w14:solidFill>
                </w14:textFill>
              </w:rPr>
            </w:pPr>
          </w:p>
        </w:tc>
        <w:tc>
          <w:tcPr>
            <w:tcW w:w="1201" w:type="dxa"/>
            <w:vAlign w:val="center"/>
          </w:tcPr>
          <w:p w14:paraId="09450546">
            <w:pPr>
              <w:jc w:val="center"/>
              <w:rPr>
                <w:rFonts w:ascii="宋体" w:hAnsi="宋体" w:cs="宋体"/>
                <w:b/>
                <w:color w:val="000000" w:themeColor="text1"/>
                <w:sz w:val="22"/>
                <w:szCs w:val="22"/>
                <w:highlight w:val="none"/>
                <w14:textFill>
                  <w14:solidFill>
                    <w14:schemeClr w14:val="tx1"/>
                  </w14:solidFill>
                </w14:textFill>
              </w:rPr>
            </w:pPr>
          </w:p>
        </w:tc>
      </w:tr>
      <w:tr w14:paraId="497CE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trPr>
        <w:tc>
          <w:tcPr>
            <w:tcW w:w="8340" w:type="dxa"/>
            <w:gridSpan w:val="6"/>
          </w:tcPr>
          <w:p w14:paraId="259A91E4">
            <w:pPr>
              <w:jc w:val="center"/>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二、符合性审查指引</w:t>
            </w:r>
          </w:p>
        </w:tc>
      </w:tr>
      <w:tr w14:paraId="43961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trPr>
        <w:tc>
          <w:tcPr>
            <w:tcW w:w="701" w:type="dxa"/>
          </w:tcPr>
          <w:p w14:paraId="32B8AD4B">
            <w:pPr>
              <w:jc w:val="center"/>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序号</w:t>
            </w:r>
          </w:p>
        </w:tc>
        <w:tc>
          <w:tcPr>
            <w:tcW w:w="2947" w:type="dxa"/>
            <w:vAlign w:val="center"/>
          </w:tcPr>
          <w:p w14:paraId="0481EC86">
            <w:pPr>
              <w:jc w:val="center"/>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符合性审查项目</w:t>
            </w:r>
          </w:p>
        </w:tc>
        <w:tc>
          <w:tcPr>
            <w:tcW w:w="3491" w:type="dxa"/>
            <w:gridSpan w:val="3"/>
            <w:vAlign w:val="center"/>
          </w:tcPr>
          <w:p w14:paraId="19C673B2">
            <w:pPr>
              <w:jc w:val="center"/>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说明</w:t>
            </w:r>
          </w:p>
        </w:tc>
        <w:tc>
          <w:tcPr>
            <w:tcW w:w="1201" w:type="dxa"/>
            <w:vAlign w:val="center"/>
          </w:tcPr>
          <w:p w14:paraId="61145CEB">
            <w:pPr>
              <w:jc w:val="center"/>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起止页码</w:t>
            </w:r>
          </w:p>
        </w:tc>
      </w:tr>
      <w:tr w14:paraId="028FF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trPr>
        <w:tc>
          <w:tcPr>
            <w:tcW w:w="701" w:type="dxa"/>
          </w:tcPr>
          <w:p w14:paraId="768731FA">
            <w:pPr>
              <w:jc w:val="center"/>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1</w:t>
            </w:r>
          </w:p>
        </w:tc>
        <w:tc>
          <w:tcPr>
            <w:tcW w:w="2947" w:type="dxa"/>
          </w:tcPr>
          <w:p w14:paraId="5D10AE0A">
            <w:pPr>
              <w:jc w:val="center"/>
              <w:rPr>
                <w:rFonts w:ascii="宋体" w:hAnsi="宋体" w:cs="宋体"/>
                <w:b/>
                <w:color w:val="000000" w:themeColor="text1"/>
                <w:sz w:val="22"/>
                <w:szCs w:val="22"/>
                <w:highlight w:val="none"/>
                <w14:textFill>
                  <w14:solidFill>
                    <w14:schemeClr w14:val="tx1"/>
                  </w14:solidFill>
                </w14:textFill>
              </w:rPr>
            </w:pPr>
          </w:p>
        </w:tc>
        <w:tc>
          <w:tcPr>
            <w:tcW w:w="3491" w:type="dxa"/>
            <w:gridSpan w:val="3"/>
            <w:vAlign w:val="center"/>
          </w:tcPr>
          <w:p w14:paraId="28ABB2F1">
            <w:pPr>
              <w:jc w:val="center"/>
              <w:rPr>
                <w:rFonts w:ascii="宋体" w:hAnsi="宋体" w:cs="宋体"/>
                <w:b/>
                <w:color w:val="000000" w:themeColor="text1"/>
                <w:sz w:val="22"/>
                <w:szCs w:val="22"/>
                <w:highlight w:val="none"/>
                <w14:textFill>
                  <w14:solidFill>
                    <w14:schemeClr w14:val="tx1"/>
                  </w14:solidFill>
                </w14:textFill>
              </w:rPr>
            </w:pPr>
          </w:p>
        </w:tc>
        <w:tc>
          <w:tcPr>
            <w:tcW w:w="1201" w:type="dxa"/>
            <w:vAlign w:val="center"/>
          </w:tcPr>
          <w:p w14:paraId="69A764F8">
            <w:pPr>
              <w:jc w:val="center"/>
              <w:rPr>
                <w:rFonts w:ascii="宋体" w:hAnsi="宋体" w:cs="宋体"/>
                <w:b/>
                <w:color w:val="000000" w:themeColor="text1"/>
                <w:sz w:val="22"/>
                <w:szCs w:val="22"/>
                <w:highlight w:val="none"/>
                <w14:textFill>
                  <w14:solidFill>
                    <w14:schemeClr w14:val="tx1"/>
                  </w14:solidFill>
                </w14:textFill>
              </w:rPr>
            </w:pPr>
          </w:p>
        </w:tc>
      </w:tr>
      <w:tr w14:paraId="188EF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trPr>
        <w:tc>
          <w:tcPr>
            <w:tcW w:w="701" w:type="dxa"/>
          </w:tcPr>
          <w:p w14:paraId="675CFD25">
            <w:pPr>
              <w:jc w:val="center"/>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2</w:t>
            </w:r>
          </w:p>
        </w:tc>
        <w:tc>
          <w:tcPr>
            <w:tcW w:w="2947" w:type="dxa"/>
          </w:tcPr>
          <w:p w14:paraId="5902405D">
            <w:pPr>
              <w:jc w:val="center"/>
              <w:rPr>
                <w:rFonts w:ascii="宋体" w:hAnsi="宋体" w:cs="宋体"/>
                <w:b/>
                <w:color w:val="000000" w:themeColor="text1"/>
                <w:sz w:val="22"/>
                <w:szCs w:val="22"/>
                <w:highlight w:val="none"/>
                <w14:textFill>
                  <w14:solidFill>
                    <w14:schemeClr w14:val="tx1"/>
                  </w14:solidFill>
                </w14:textFill>
              </w:rPr>
            </w:pPr>
          </w:p>
        </w:tc>
        <w:tc>
          <w:tcPr>
            <w:tcW w:w="3491" w:type="dxa"/>
            <w:gridSpan w:val="3"/>
            <w:vAlign w:val="center"/>
          </w:tcPr>
          <w:p w14:paraId="57F8CF1F">
            <w:pPr>
              <w:jc w:val="center"/>
              <w:rPr>
                <w:rFonts w:ascii="宋体" w:hAnsi="宋体" w:cs="宋体"/>
                <w:b/>
                <w:color w:val="000000" w:themeColor="text1"/>
                <w:sz w:val="22"/>
                <w:szCs w:val="22"/>
                <w:highlight w:val="none"/>
                <w14:textFill>
                  <w14:solidFill>
                    <w14:schemeClr w14:val="tx1"/>
                  </w14:solidFill>
                </w14:textFill>
              </w:rPr>
            </w:pPr>
          </w:p>
        </w:tc>
        <w:tc>
          <w:tcPr>
            <w:tcW w:w="1201" w:type="dxa"/>
            <w:vAlign w:val="center"/>
          </w:tcPr>
          <w:p w14:paraId="19E45DBC">
            <w:pPr>
              <w:jc w:val="center"/>
              <w:rPr>
                <w:rFonts w:ascii="宋体" w:hAnsi="宋体" w:cs="宋体"/>
                <w:b/>
                <w:color w:val="000000" w:themeColor="text1"/>
                <w:sz w:val="22"/>
                <w:szCs w:val="22"/>
                <w:highlight w:val="none"/>
                <w14:textFill>
                  <w14:solidFill>
                    <w14:schemeClr w14:val="tx1"/>
                  </w14:solidFill>
                </w14:textFill>
              </w:rPr>
            </w:pPr>
          </w:p>
        </w:tc>
      </w:tr>
      <w:tr w14:paraId="6998A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trPr>
        <w:tc>
          <w:tcPr>
            <w:tcW w:w="701" w:type="dxa"/>
          </w:tcPr>
          <w:p w14:paraId="51E2BAA7">
            <w:pPr>
              <w:jc w:val="center"/>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3</w:t>
            </w:r>
          </w:p>
        </w:tc>
        <w:tc>
          <w:tcPr>
            <w:tcW w:w="2947" w:type="dxa"/>
          </w:tcPr>
          <w:p w14:paraId="2324D371">
            <w:pPr>
              <w:jc w:val="center"/>
              <w:rPr>
                <w:rFonts w:ascii="宋体" w:hAnsi="宋体" w:cs="宋体"/>
                <w:b/>
                <w:color w:val="000000" w:themeColor="text1"/>
                <w:sz w:val="22"/>
                <w:szCs w:val="22"/>
                <w:highlight w:val="none"/>
                <w14:textFill>
                  <w14:solidFill>
                    <w14:schemeClr w14:val="tx1"/>
                  </w14:solidFill>
                </w14:textFill>
              </w:rPr>
            </w:pPr>
          </w:p>
        </w:tc>
        <w:tc>
          <w:tcPr>
            <w:tcW w:w="3491" w:type="dxa"/>
            <w:gridSpan w:val="3"/>
            <w:vAlign w:val="center"/>
          </w:tcPr>
          <w:p w14:paraId="7BEDEF99">
            <w:pPr>
              <w:jc w:val="center"/>
              <w:rPr>
                <w:rFonts w:ascii="宋体" w:hAnsi="宋体" w:cs="宋体"/>
                <w:b/>
                <w:color w:val="000000" w:themeColor="text1"/>
                <w:sz w:val="22"/>
                <w:szCs w:val="22"/>
                <w:highlight w:val="none"/>
                <w14:textFill>
                  <w14:solidFill>
                    <w14:schemeClr w14:val="tx1"/>
                  </w14:solidFill>
                </w14:textFill>
              </w:rPr>
            </w:pPr>
          </w:p>
        </w:tc>
        <w:tc>
          <w:tcPr>
            <w:tcW w:w="1201" w:type="dxa"/>
            <w:vAlign w:val="center"/>
          </w:tcPr>
          <w:p w14:paraId="5BD1281B">
            <w:pPr>
              <w:jc w:val="center"/>
              <w:rPr>
                <w:rFonts w:ascii="宋体" w:hAnsi="宋体" w:cs="宋体"/>
                <w:b/>
                <w:color w:val="000000" w:themeColor="text1"/>
                <w:sz w:val="22"/>
                <w:szCs w:val="22"/>
                <w:highlight w:val="none"/>
                <w14:textFill>
                  <w14:solidFill>
                    <w14:schemeClr w14:val="tx1"/>
                  </w14:solidFill>
                </w14:textFill>
              </w:rPr>
            </w:pPr>
          </w:p>
        </w:tc>
      </w:tr>
      <w:tr w14:paraId="66A5E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trPr>
        <w:tc>
          <w:tcPr>
            <w:tcW w:w="701" w:type="dxa"/>
          </w:tcPr>
          <w:p w14:paraId="0E72D82B">
            <w:pPr>
              <w:jc w:val="center"/>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4</w:t>
            </w:r>
          </w:p>
        </w:tc>
        <w:tc>
          <w:tcPr>
            <w:tcW w:w="2947" w:type="dxa"/>
          </w:tcPr>
          <w:p w14:paraId="5CD0A2C1">
            <w:pPr>
              <w:jc w:val="center"/>
              <w:rPr>
                <w:rFonts w:ascii="宋体" w:hAnsi="宋体" w:cs="宋体"/>
                <w:b/>
                <w:color w:val="000000" w:themeColor="text1"/>
                <w:sz w:val="22"/>
                <w:szCs w:val="22"/>
                <w:highlight w:val="none"/>
                <w14:textFill>
                  <w14:solidFill>
                    <w14:schemeClr w14:val="tx1"/>
                  </w14:solidFill>
                </w14:textFill>
              </w:rPr>
            </w:pPr>
          </w:p>
        </w:tc>
        <w:tc>
          <w:tcPr>
            <w:tcW w:w="3491" w:type="dxa"/>
            <w:gridSpan w:val="3"/>
            <w:vAlign w:val="center"/>
          </w:tcPr>
          <w:p w14:paraId="6FB77873">
            <w:pPr>
              <w:jc w:val="center"/>
              <w:rPr>
                <w:rFonts w:ascii="宋体" w:hAnsi="宋体" w:cs="宋体"/>
                <w:b/>
                <w:color w:val="000000" w:themeColor="text1"/>
                <w:sz w:val="22"/>
                <w:szCs w:val="22"/>
                <w:highlight w:val="none"/>
                <w14:textFill>
                  <w14:solidFill>
                    <w14:schemeClr w14:val="tx1"/>
                  </w14:solidFill>
                </w14:textFill>
              </w:rPr>
            </w:pPr>
          </w:p>
        </w:tc>
        <w:tc>
          <w:tcPr>
            <w:tcW w:w="1201" w:type="dxa"/>
            <w:vAlign w:val="center"/>
          </w:tcPr>
          <w:p w14:paraId="0E1A1097">
            <w:pPr>
              <w:jc w:val="center"/>
              <w:rPr>
                <w:rFonts w:ascii="宋体" w:hAnsi="宋体" w:cs="宋体"/>
                <w:b/>
                <w:color w:val="000000" w:themeColor="text1"/>
                <w:sz w:val="22"/>
                <w:szCs w:val="22"/>
                <w:highlight w:val="none"/>
                <w14:textFill>
                  <w14:solidFill>
                    <w14:schemeClr w14:val="tx1"/>
                  </w14:solidFill>
                </w14:textFill>
              </w:rPr>
            </w:pPr>
          </w:p>
        </w:tc>
      </w:tr>
      <w:tr w14:paraId="7134B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trPr>
        <w:tc>
          <w:tcPr>
            <w:tcW w:w="701" w:type="dxa"/>
          </w:tcPr>
          <w:p w14:paraId="6115073B">
            <w:pPr>
              <w:jc w:val="center"/>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5</w:t>
            </w:r>
          </w:p>
        </w:tc>
        <w:tc>
          <w:tcPr>
            <w:tcW w:w="2947" w:type="dxa"/>
          </w:tcPr>
          <w:p w14:paraId="18CC920C">
            <w:pPr>
              <w:jc w:val="center"/>
              <w:rPr>
                <w:rFonts w:ascii="宋体" w:hAnsi="宋体" w:cs="宋体"/>
                <w:color w:val="000000" w:themeColor="text1"/>
                <w:sz w:val="22"/>
                <w:szCs w:val="22"/>
                <w:highlight w:val="none"/>
                <w14:textFill>
                  <w14:solidFill>
                    <w14:schemeClr w14:val="tx1"/>
                  </w14:solidFill>
                </w14:textFill>
              </w:rPr>
            </w:pPr>
          </w:p>
        </w:tc>
        <w:tc>
          <w:tcPr>
            <w:tcW w:w="3491" w:type="dxa"/>
            <w:gridSpan w:val="3"/>
            <w:vAlign w:val="center"/>
          </w:tcPr>
          <w:p w14:paraId="06CE3FDC">
            <w:pPr>
              <w:jc w:val="center"/>
              <w:rPr>
                <w:rFonts w:ascii="宋体" w:hAnsi="宋体" w:cs="宋体"/>
                <w:b/>
                <w:color w:val="000000" w:themeColor="text1"/>
                <w:sz w:val="22"/>
                <w:szCs w:val="22"/>
                <w:highlight w:val="none"/>
                <w14:textFill>
                  <w14:solidFill>
                    <w14:schemeClr w14:val="tx1"/>
                  </w14:solidFill>
                </w14:textFill>
              </w:rPr>
            </w:pPr>
          </w:p>
        </w:tc>
        <w:tc>
          <w:tcPr>
            <w:tcW w:w="1201" w:type="dxa"/>
            <w:vAlign w:val="center"/>
          </w:tcPr>
          <w:p w14:paraId="69C6287D">
            <w:pPr>
              <w:jc w:val="center"/>
              <w:rPr>
                <w:rFonts w:ascii="宋体" w:hAnsi="宋体" w:cs="宋体"/>
                <w:b/>
                <w:color w:val="000000" w:themeColor="text1"/>
                <w:sz w:val="22"/>
                <w:szCs w:val="22"/>
                <w:highlight w:val="none"/>
                <w14:textFill>
                  <w14:solidFill>
                    <w14:schemeClr w14:val="tx1"/>
                  </w14:solidFill>
                </w14:textFill>
              </w:rPr>
            </w:pPr>
          </w:p>
        </w:tc>
      </w:tr>
      <w:tr w14:paraId="3E50E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trPr>
        <w:tc>
          <w:tcPr>
            <w:tcW w:w="701" w:type="dxa"/>
          </w:tcPr>
          <w:p w14:paraId="1CD57FAC">
            <w:pPr>
              <w:jc w:val="center"/>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6</w:t>
            </w:r>
          </w:p>
        </w:tc>
        <w:tc>
          <w:tcPr>
            <w:tcW w:w="2947" w:type="dxa"/>
          </w:tcPr>
          <w:p w14:paraId="501BCACC">
            <w:pPr>
              <w:jc w:val="center"/>
              <w:rPr>
                <w:rFonts w:ascii="宋体" w:hAnsi="宋体" w:cs="宋体"/>
                <w:color w:val="000000" w:themeColor="text1"/>
                <w:sz w:val="22"/>
                <w:szCs w:val="22"/>
                <w:highlight w:val="none"/>
                <w14:textFill>
                  <w14:solidFill>
                    <w14:schemeClr w14:val="tx1"/>
                  </w14:solidFill>
                </w14:textFill>
              </w:rPr>
            </w:pPr>
          </w:p>
        </w:tc>
        <w:tc>
          <w:tcPr>
            <w:tcW w:w="3491" w:type="dxa"/>
            <w:gridSpan w:val="3"/>
            <w:vAlign w:val="center"/>
          </w:tcPr>
          <w:p w14:paraId="0952C3A3">
            <w:pPr>
              <w:jc w:val="center"/>
              <w:rPr>
                <w:rFonts w:ascii="宋体" w:hAnsi="宋体" w:cs="宋体"/>
                <w:b/>
                <w:color w:val="000000" w:themeColor="text1"/>
                <w:sz w:val="22"/>
                <w:szCs w:val="22"/>
                <w:highlight w:val="none"/>
                <w14:textFill>
                  <w14:solidFill>
                    <w14:schemeClr w14:val="tx1"/>
                  </w14:solidFill>
                </w14:textFill>
              </w:rPr>
            </w:pPr>
          </w:p>
        </w:tc>
        <w:tc>
          <w:tcPr>
            <w:tcW w:w="1201" w:type="dxa"/>
            <w:vAlign w:val="center"/>
          </w:tcPr>
          <w:p w14:paraId="2AA059AD">
            <w:pPr>
              <w:jc w:val="center"/>
              <w:rPr>
                <w:rFonts w:ascii="宋体" w:hAnsi="宋体" w:cs="宋体"/>
                <w:b/>
                <w:color w:val="000000" w:themeColor="text1"/>
                <w:sz w:val="22"/>
                <w:szCs w:val="22"/>
                <w:highlight w:val="none"/>
                <w14:textFill>
                  <w14:solidFill>
                    <w14:schemeClr w14:val="tx1"/>
                  </w14:solidFill>
                </w14:textFill>
              </w:rPr>
            </w:pPr>
          </w:p>
        </w:tc>
      </w:tr>
      <w:tr w14:paraId="1DD7E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trPr>
        <w:tc>
          <w:tcPr>
            <w:tcW w:w="701" w:type="dxa"/>
          </w:tcPr>
          <w:p w14:paraId="4E432C37">
            <w:pPr>
              <w:jc w:val="center"/>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7</w:t>
            </w:r>
          </w:p>
        </w:tc>
        <w:tc>
          <w:tcPr>
            <w:tcW w:w="2947" w:type="dxa"/>
          </w:tcPr>
          <w:p w14:paraId="39FF376B">
            <w:pPr>
              <w:jc w:val="center"/>
              <w:rPr>
                <w:rFonts w:ascii="宋体" w:hAnsi="宋体" w:cs="宋体"/>
                <w:color w:val="000000" w:themeColor="text1"/>
                <w:sz w:val="22"/>
                <w:szCs w:val="22"/>
                <w:highlight w:val="none"/>
                <w14:textFill>
                  <w14:solidFill>
                    <w14:schemeClr w14:val="tx1"/>
                  </w14:solidFill>
                </w14:textFill>
              </w:rPr>
            </w:pPr>
          </w:p>
        </w:tc>
        <w:tc>
          <w:tcPr>
            <w:tcW w:w="3491" w:type="dxa"/>
            <w:gridSpan w:val="3"/>
            <w:vAlign w:val="center"/>
          </w:tcPr>
          <w:p w14:paraId="1F9AB27A">
            <w:pPr>
              <w:jc w:val="center"/>
              <w:rPr>
                <w:rFonts w:ascii="宋体" w:hAnsi="宋体" w:cs="宋体"/>
                <w:b/>
                <w:color w:val="000000" w:themeColor="text1"/>
                <w:sz w:val="22"/>
                <w:szCs w:val="22"/>
                <w:highlight w:val="none"/>
                <w14:textFill>
                  <w14:solidFill>
                    <w14:schemeClr w14:val="tx1"/>
                  </w14:solidFill>
                </w14:textFill>
              </w:rPr>
            </w:pPr>
          </w:p>
        </w:tc>
        <w:tc>
          <w:tcPr>
            <w:tcW w:w="1201" w:type="dxa"/>
            <w:vAlign w:val="center"/>
          </w:tcPr>
          <w:p w14:paraId="13A29741">
            <w:pPr>
              <w:jc w:val="center"/>
              <w:rPr>
                <w:rFonts w:ascii="宋体" w:hAnsi="宋体" w:cs="宋体"/>
                <w:b/>
                <w:color w:val="000000" w:themeColor="text1"/>
                <w:sz w:val="22"/>
                <w:szCs w:val="22"/>
                <w:highlight w:val="none"/>
                <w14:textFill>
                  <w14:solidFill>
                    <w14:schemeClr w14:val="tx1"/>
                  </w14:solidFill>
                </w14:textFill>
              </w:rPr>
            </w:pPr>
          </w:p>
        </w:tc>
      </w:tr>
      <w:tr w14:paraId="417AF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trPr>
        <w:tc>
          <w:tcPr>
            <w:tcW w:w="701" w:type="dxa"/>
          </w:tcPr>
          <w:p w14:paraId="0FFB0C79">
            <w:pPr>
              <w:jc w:val="center"/>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8</w:t>
            </w:r>
          </w:p>
        </w:tc>
        <w:tc>
          <w:tcPr>
            <w:tcW w:w="2947" w:type="dxa"/>
          </w:tcPr>
          <w:p w14:paraId="6C09341D">
            <w:pPr>
              <w:jc w:val="center"/>
              <w:rPr>
                <w:rFonts w:ascii="宋体" w:hAnsi="宋体" w:cs="宋体"/>
                <w:b/>
                <w:color w:val="000000" w:themeColor="text1"/>
                <w:sz w:val="22"/>
                <w:szCs w:val="22"/>
                <w:highlight w:val="none"/>
                <w14:textFill>
                  <w14:solidFill>
                    <w14:schemeClr w14:val="tx1"/>
                  </w14:solidFill>
                </w14:textFill>
              </w:rPr>
            </w:pPr>
          </w:p>
        </w:tc>
        <w:tc>
          <w:tcPr>
            <w:tcW w:w="3491" w:type="dxa"/>
            <w:gridSpan w:val="3"/>
            <w:vAlign w:val="center"/>
          </w:tcPr>
          <w:p w14:paraId="11A9A527">
            <w:pPr>
              <w:jc w:val="center"/>
              <w:rPr>
                <w:rFonts w:ascii="宋体" w:hAnsi="宋体" w:cs="宋体"/>
                <w:b/>
                <w:color w:val="000000" w:themeColor="text1"/>
                <w:sz w:val="22"/>
                <w:szCs w:val="22"/>
                <w:highlight w:val="none"/>
                <w14:textFill>
                  <w14:solidFill>
                    <w14:schemeClr w14:val="tx1"/>
                  </w14:solidFill>
                </w14:textFill>
              </w:rPr>
            </w:pPr>
          </w:p>
        </w:tc>
        <w:tc>
          <w:tcPr>
            <w:tcW w:w="1201" w:type="dxa"/>
            <w:vAlign w:val="center"/>
          </w:tcPr>
          <w:p w14:paraId="1A9BB14C">
            <w:pPr>
              <w:jc w:val="center"/>
              <w:rPr>
                <w:rFonts w:ascii="宋体" w:hAnsi="宋体" w:cs="宋体"/>
                <w:b/>
                <w:color w:val="000000" w:themeColor="text1"/>
                <w:sz w:val="22"/>
                <w:szCs w:val="22"/>
                <w:highlight w:val="none"/>
                <w14:textFill>
                  <w14:solidFill>
                    <w14:schemeClr w14:val="tx1"/>
                  </w14:solidFill>
                </w14:textFill>
              </w:rPr>
            </w:pPr>
          </w:p>
        </w:tc>
      </w:tr>
      <w:tr w14:paraId="2D496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trPr>
        <w:tc>
          <w:tcPr>
            <w:tcW w:w="8340" w:type="dxa"/>
            <w:gridSpan w:val="6"/>
          </w:tcPr>
          <w:p w14:paraId="1F66A4C4">
            <w:pPr>
              <w:jc w:val="center"/>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三、综合评分指引</w:t>
            </w:r>
          </w:p>
        </w:tc>
      </w:tr>
      <w:tr w14:paraId="3236E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701" w:type="dxa"/>
          </w:tcPr>
          <w:p w14:paraId="4C37C302">
            <w:pPr>
              <w:jc w:val="center"/>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评分类别</w:t>
            </w:r>
          </w:p>
        </w:tc>
        <w:tc>
          <w:tcPr>
            <w:tcW w:w="3961" w:type="dxa"/>
            <w:gridSpan w:val="2"/>
            <w:vAlign w:val="center"/>
          </w:tcPr>
          <w:p w14:paraId="2ED4199F">
            <w:pPr>
              <w:jc w:val="center"/>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评分项目</w:t>
            </w:r>
          </w:p>
        </w:tc>
        <w:tc>
          <w:tcPr>
            <w:tcW w:w="1371" w:type="dxa"/>
            <w:vAlign w:val="center"/>
          </w:tcPr>
          <w:p w14:paraId="0B315AF2">
            <w:pPr>
              <w:jc w:val="center"/>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分值</w:t>
            </w:r>
          </w:p>
          <w:p w14:paraId="7DBE76F5">
            <w:pPr>
              <w:jc w:val="center"/>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（或权重）</w:t>
            </w:r>
          </w:p>
        </w:tc>
        <w:tc>
          <w:tcPr>
            <w:tcW w:w="1106" w:type="dxa"/>
            <w:vAlign w:val="center"/>
          </w:tcPr>
          <w:p w14:paraId="3A84DDAD">
            <w:pPr>
              <w:jc w:val="center"/>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对应章节</w:t>
            </w:r>
          </w:p>
        </w:tc>
        <w:tc>
          <w:tcPr>
            <w:tcW w:w="1201" w:type="dxa"/>
            <w:vAlign w:val="center"/>
          </w:tcPr>
          <w:p w14:paraId="56AA32A7">
            <w:pPr>
              <w:jc w:val="center"/>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起止页码</w:t>
            </w:r>
          </w:p>
        </w:tc>
      </w:tr>
      <w:tr w14:paraId="64476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01" w:type="dxa"/>
            <w:vMerge w:val="restart"/>
            <w:vAlign w:val="center"/>
          </w:tcPr>
          <w:p w14:paraId="539F8BCB">
            <w:pPr>
              <w:jc w:val="center"/>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技术部分</w:t>
            </w:r>
          </w:p>
        </w:tc>
        <w:tc>
          <w:tcPr>
            <w:tcW w:w="3961" w:type="dxa"/>
            <w:gridSpan w:val="2"/>
          </w:tcPr>
          <w:p w14:paraId="6D70536C">
            <w:pPr>
              <w:jc w:val="center"/>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1.…………</w:t>
            </w:r>
          </w:p>
        </w:tc>
        <w:tc>
          <w:tcPr>
            <w:tcW w:w="1371" w:type="dxa"/>
          </w:tcPr>
          <w:p w14:paraId="40BA68A3">
            <w:pPr>
              <w:jc w:val="center"/>
              <w:rPr>
                <w:rFonts w:ascii="宋体" w:hAnsi="宋体" w:cs="宋体"/>
                <w:b/>
                <w:color w:val="000000" w:themeColor="text1"/>
                <w:sz w:val="22"/>
                <w:szCs w:val="22"/>
                <w:highlight w:val="none"/>
                <w14:textFill>
                  <w14:solidFill>
                    <w14:schemeClr w14:val="tx1"/>
                  </w14:solidFill>
                </w14:textFill>
              </w:rPr>
            </w:pPr>
          </w:p>
        </w:tc>
        <w:tc>
          <w:tcPr>
            <w:tcW w:w="1106" w:type="dxa"/>
          </w:tcPr>
          <w:p w14:paraId="335F888C">
            <w:pPr>
              <w:jc w:val="center"/>
              <w:rPr>
                <w:rFonts w:ascii="宋体" w:hAnsi="宋体" w:cs="宋体"/>
                <w:b/>
                <w:color w:val="000000" w:themeColor="text1"/>
                <w:sz w:val="22"/>
                <w:szCs w:val="22"/>
                <w:highlight w:val="none"/>
                <w14:textFill>
                  <w14:solidFill>
                    <w14:schemeClr w14:val="tx1"/>
                  </w14:solidFill>
                </w14:textFill>
              </w:rPr>
            </w:pPr>
          </w:p>
        </w:tc>
        <w:tc>
          <w:tcPr>
            <w:tcW w:w="1201" w:type="dxa"/>
          </w:tcPr>
          <w:p w14:paraId="60DCA511">
            <w:pPr>
              <w:jc w:val="center"/>
              <w:rPr>
                <w:rFonts w:ascii="宋体" w:hAnsi="宋体" w:cs="宋体"/>
                <w:b/>
                <w:color w:val="000000" w:themeColor="text1"/>
                <w:sz w:val="22"/>
                <w:szCs w:val="22"/>
                <w:highlight w:val="none"/>
                <w14:textFill>
                  <w14:solidFill>
                    <w14:schemeClr w14:val="tx1"/>
                  </w14:solidFill>
                </w14:textFill>
              </w:rPr>
            </w:pPr>
          </w:p>
        </w:tc>
      </w:tr>
      <w:tr w14:paraId="25755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01" w:type="dxa"/>
            <w:vMerge w:val="continue"/>
            <w:vAlign w:val="center"/>
          </w:tcPr>
          <w:p w14:paraId="1C1271CC">
            <w:pPr>
              <w:jc w:val="center"/>
              <w:rPr>
                <w:rFonts w:ascii="宋体" w:hAnsi="宋体" w:cs="宋体"/>
                <w:b/>
                <w:color w:val="000000" w:themeColor="text1"/>
                <w:sz w:val="22"/>
                <w:szCs w:val="22"/>
                <w:highlight w:val="none"/>
                <w14:textFill>
                  <w14:solidFill>
                    <w14:schemeClr w14:val="tx1"/>
                  </w14:solidFill>
                </w14:textFill>
              </w:rPr>
            </w:pPr>
          </w:p>
        </w:tc>
        <w:tc>
          <w:tcPr>
            <w:tcW w:w="3961" w:type="dxa"/>
            <w:gridSpan w:val="2"/>
          </w:tcPr>
          <w:p w14:paraId="3642E9FE">
            <w:pPr>
              <w:jc w:val="center"/>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2.…………</w:t>
            </w:r>
          </w:p>
        </w:tc>
        <w:tc>
          <w:tcPr>
            <w:tcW w:w="1371" w:type="dxa"/>
          </w:tcPr>
          <w:p w14:paraId="5D4B7297">
            <w:pPr>
              <w:jc w:val="center"/>
              <w:rPr>
                <w:rFonts w:ascii="宋体" w:hAnsi="宋体" w:cs="宋体"/>
                <w:b/>
                <w:color w:val="000000" w:themeColor="text1"/>
                <w:sz w:val="22"/>
                <w:szCs w:val="22"/>
                <w:highlight w:val="none"/>
                <w14:textFill>
                  <w14:solidFill>
                    <w14:schemeClr w14:val="tx1"/>
                  </w14:solidFill>
                </w14:textFill>
              </w:rPr>
            </w:pPr>
          </w:p>
        </w:tc>
        <w:tc>
          <w:tcPr>
            <w:tcW w:w="1106" w:type="dxa"/>
          </w:tcPr>
          <w:p w14:paraId="0401A4B3">
            <w:pPr>
              <w:jc w:val="center"/>
              <w:rPr>
                <w:rFonts w:ascii="宋体" w:hAnsi="宋体" w:cs="宋体"/>
                <w:b/>
                <w:color w:val="000000" w:themeColor="text1"/>
                <w:sz w:val="22"/>
                <w:szCs w:val="22"/>
                <w:highlight w:val="none"/>
                <w14:textFill>
                  <w14:solidFill>
                    <w14:schemeClr w14:val="tx1"/>
                  </w14:solidFill>
                </w14:textFill>
              </w:rPr>
            </w:pPr>
          </w:p>
        </w:tc>
        <w:tc>
          <w:tcPr>
            <w:tcW w:w="1201" w:type="dxa"/>
          </w:tcPr>
          <w:p w14:paraId="26A1338F">
            <w:pPr>
              <w:jc w:val="center"/>
              <w:rPr>
                <w:rFonts w:ascii="宋体" w:hAnsi="宋体" w:cs="宋体"/>
                <w:b/>
                <w:color w:val="000000" w:themeColor="text1"/>
                <w:sz w:val="22"/>
                <w:szCs w:val="22"/>
                <w:highlight w:val="none"/>
                <w14:textFill>
                  <w14:solidFill>
                    <w14:schemeClr w14:val="tx1"/>
                  </w14:solidFill>
                </w14:textFill>
              </w:rPr>
            </w:pPr>
          </w:p>
        </w:tc>
      </w:tr>
      <w:tr w14:paraId="68612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01" w:type="dxa"/>
            <w:vMerge w:val="continue"/>
            <w:vAlign w:val="center"/>
          </w:tcPr>
          <w:p w14:paraId="1E2F305C">
            <w:pPr>
              <w:jc w:val="center"/>
              <w:rPr>
                <w:rFonts w:ascii="宋体" w:hAnsi="宋体" w:cs="宋体"/>
                <w:b/>
                <w:color w:val="000000" w:themeColor="text1"/>
                <w:sz w:val="22"/>
                <w:szCs w:val="22"/>
                <w:highlight w:val="none"/>
                <w14:textFill>
                  <w14:solidFill>
                    <w14:schemeClr w14:val="tx1"/>
                  </w14:solidFill>
                </w14:textFill>
              </w:rPr>
            </w:pPr>
          </w:p>
        </w:tc>
        <w:tc>
          <w:tcPr>
            <w:tcW w:w="3961" w:type="dxa"/>
            <w:gridSpan w:val="2"/>
          </w:tcPr>
          <w:p w14:paraId="2ADEFC3B">
            <w:pPr>
              <w:jc w:val="center"/>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w:t>
            </w:r>
          </w:p>
        </w:tc>
        <w:tc>
          <w:tcPr>
            <w:tcW w:w="1371" w:type="dxa"/>
          </w:tcPr>
          <w:p w14:paraId="5CAD2E8D">
            <w:pPr>
              <w:jc w:val="center"/>
              <w:rPr>
                <w:rFonts w:ascii="宋体" w:hAnsi="宋体" w:cs="宋体"/>
                <w:b/>
                <w:color w:val="000000" w:themeColor="text1"/>
                <w:sz w:val="22"/>
                <w:szCs w:val="22"/>
                <w:highlight w:val="none"/>
                <w14:textFill>
                  <w14:solidFill>
                    <w14:schemeClr w14:val="tx1"/>
                  </w14:solidFill>
                </w14:textFill>
              </w:rPr>
            </w:pPr>
          </w:p>
        </w:tc>
        <w:tc>
          <w:tcPr>
            <w:tcW w:w="1106" w:type="dxa"/>
          </w:tcPr>
          <w:p w14:paraId="62513657">
            <w:pPr>
              <w:jc w:val="center"/>
              <w:rPr>
                <w:rFonts w:ascii="宋体" w:hAnsi="宋体" w:cs="宋体"/>
                <w:b/>
                <w:color w:val="000000" w:themeColor="text1"/>
                <w:sz w:val="22"/>
                <w:szCs w:val="22"/>
                <w:highlight w:val="none"/>
                <w14:textFill>
                  <w14:solidFill>
                    <w14:schemeClr w14:val="tx1"/>
                  </w14:solidFill>
                </w14:textFill>
              </w:rPr>
            </w:pPr>
          </w:p>
        </w:tc>
        <w:tc>
          <w:tcPr>
            <w:tcW w:w="1201" w:type="dxa"/>
          </w:tcPr>
          <w:p w14:paraId="093D2936">
            <w:pPr>
              <w:jc w:val="center"/>
              <w:rPr>
                <w:rFonts w:ascii="宋体" w:hAnsi="宋体" w:cs="宋体"/>
                <w:b/>
                <w:color w:val="000000" w:themeColor="text1"/>
                <w:sz w:val="22"/>
                <w:szCs w:val="22"/>
                <w:highlight w:val="none"/>
                <w14:textFill>
                  <w14:solidFill>
                    <w14:schemeClr w14:val="tx1"/>
                  </w14:solidFill>
                </w14:textFill>
              </w:rPr>
            </w:pPr>
          </w:p>
        </w:tc>
      </w:tr>
      <w:tr w14:paraId="436AE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trPr>
        <w:tc>
          <w:tcPr>
            <w:tcW w:w="701" w:type="dxa"/>
            <w:vMerge w:val="restart"/>
            <w:vAlign w:val="center"/>
          </w:tcPr>
          <w:p w14:paraId="1F47C98B">
            <w:pPr>
              <w:jc w:val="center"/>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商务部分</w:t>
            </w:r>
          </w:p>
        </w:tc>
        <w:tc>
          <w:tcPr>
            <w:tcW w:w="3961" w:type="dxa"/>
            <w:gridSpan w:val="2"/>
          </w:tcPr>
          <w:p w14:paraId="2E7192CC">
            <w:pPr>
              <w:jc w:val="center"/>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1.…………</w:t>
            </w:r>
          </w:p>
        </w:tc>
        <w:tc>
          <w:tcPr>
            <w:tcW w:w="1371" w:type="dxa"/>
          </w:tcPr>
          <w:p w14:paraId="470FC801">
            <w:pPr>
              <w:jc w:val="center"/>
              <w:rPr>
                <w:rFonts w:ascii="宋体" w:hAnsi="宋体" w:cs="宋体"/>
                <w:b/>
                <w:color w:val="000000" w:themeColor="text1"/>
                <w:sz w:val="22"/>
                <w:szCs w:val="22"/>
                <w:highlight w:val="none"/>
                <w14:textFill>
                  <w14:solidFill>
                    <w14:schemeClr w14:val="tx1"/>
                  </w14:solidFill>
                </w14:textFill>
              </w:rPr>
            </w:pPr>
          </w:p>
        </w:tc>
        <w:tc>
          <w:tcPr>
            <w:tcW w:w="1106" w:type="dxa"/>
          </w:tcPr>
          <w:p w14:paraId="3DBDFB73">
            <w:pPr>
              <w:jc w:val="center"/>
              <w:rPr>
                <w:rFonts w:ascii="宋体" w:hAnsi="宋体" w:cs="宋体"/>
                <w:b/>
                <w:color w:val="000000" w:themeColor="text1"/>
                <w:sz w:val="22"/>
                <w:szCs w:val="22"/>
                <w:highlight w:val="none"/>
                <w14:textFill>
                  <w14:solidFill>
                    <w14:schemeClr w14:val="tx1"/>
                  </w14:solidFill>
                </w14:textFill>
              </w:rPr>
            </w:pPr>
          </w:p>
        </w:tc>
        <w:tc>
          <w:tcPr>
            <w:tcW w:w="1201" w:type="dxa"/>
          </w:tcPr>
          <w:p w14:paraId="1A2DA3EA">
            <w:pPr>
              <w:jc w:val="center"/>
              <w:rPr>
                <w:rFonts w:ascii="宋体" w:hAnsi="宋体" w:cs="宋体"/>
                <w:b/>
                <w:color w:val="000000" w:themeColor="text1"/>
                <w:sz w:val="22"/>
                <w:szCs w:val="22"/>
                <w:highlight w:val="none"/>
                <w14:textFill>
                  <w14:solidFill>
                    <w14:schemeClr w14:val="tx1"/>
                  </w14:solidFill>
                </w14:textFill>
              </w:rPr>
            </w:pPr>
          </w:p>
        </w:tc>
      </w:tr>
      <w:tr w14:paraId="2F01D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trPr>
        <w:tc>
          <w:tcPr>
            <w:tcW w:w="701" w:type="dxa"/>
            <w:vMerge w:val="continue"/>
          </w:tcPr>
          <w:p w14:paraId="7210470E">
            <w:pPr>
              <w:jc w:val="center"/>
              <w:rPr>
                <w:rFonts w:ascii="宋体" w:hAnsi="宋体" w:cs="宋体"/>
                <w:b/>
                <w:color w:val="000000" w:themeColor="text1"/>
                <w:sz w:val="22"/>
                <w:szCs w:val="22"/>
                <w:highlight w:val="none"/>
                <w14:textFill>
                  <w14:solidFill>
                    <w14:schemeClr w14:val="tx1"/>
                  </w14:solidFill>
                </w14:textFill>
              </w:rPr>
            </w:pPr>
          </w:p>
        </w:tc>
        <w:tc>
          <w:tcPr>
            <w:tcW w:w="3961" w:type="dxa"/>
            <w:gridSpan w:val="2"/>
          </w:tcPr>
          <w:p w14:paraId="5C889832">
            <w:pPr>
              <w:jc w:val="center"/>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2.…………</w:t>
            </w:r>
          </w:p>
        </w:tc>
        <w:tc>
          <w:tcPr>
            <w:tcW w:w="1371" w:type="dxa"/>
          </w:tcPr>
          <w:p w14:paraId="6FE5AA5C">
            <w:pPr>
              <w:jc w:val="center"/>
              <w:rPr>
                <w:rFonts w:ascii="宋体" w:hAnsi="宋体" w:cs="宋体"/>
                <w:b/>
                <w:color w:val="000000" w:themeColor="text1"/>
                <w:sz w:val="22"/>
                <w:szCs w:val="22"/>
                <w:highlight w:val="none"/>
                <w14:textFill>
                  <w14:solidFill>
                    <w14:schemeClr w14:val="tx1"/>
                  </w14:solidFill>
                </w14:textFill>
              </w:rPr>
            </w:pPr>
          </w:p>
        </w:tc>
        <w:tc>
          <w:tcPr>
            <w:tcW w:w="1106" w:type="dxa"/>
          </w:tcPr>
          <w:p w14:paraId="6F48C88A">
            <w:pPr>
              <w:jc w:val="center"/>
              <w:rPr>
                <w:rFonts w:ascii="宋体" w:hAnsi="宋体" w:cs="宋体"/>
                <w:b/>
                <w:color w:val="000000" w:themeColor="text1"/>
                <w:sz w:val="22"/>
                <w:szCs w:val="22"/>
                <w:highlight w:val="none"/>
                <w14:textFill>
                  <w14:solidFill>
                    <w14:schemeClr w14:val="tx1"/>
                  </w14:solidFill>
                </w14:textFill>
              </w:rPr>
            </w:pPr>
          </w:p>
        </w:tc>
        <w:tc>
          <w:tcPr>
            <w:tcW w:w="1201" w:type="dxa"/>
          </w:tcPr>
          <w:p w14:paraId="71A6948E">
            <w:pPr>
              <w:jc w:val="center"/>
              <w:rPr>
                <w:rFonts w:ascii="宋体" w:hAnsi="宋体" w:cs="宋体"/>
                <w:b/>
                <w:color w:val="000000" w:themeColor="text1"/>
                <w:sz w:val="22"/>
                <w:szCs w:val="22"/>
                <w:highlight w:val="none"/>
                <w14:textFill>
                  <w14:solidFill>
                    <w14:schemeClr w14:val="tx1"/>
                  </w14:solidFill>
                </w14:textFill>
              </w:rPr>
            </w:pPr>
          </w:p>
        </w:tc>
      </w:tr>
      <w:tr w14:paraId="1652D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701" w:type="dxa"/>
            <w:vMerge w:val="continue"/>
          </w:tcPr>
          <w:p w14:paraId="30617EBF">
            <w:pPr>
              <w:jc w:val="center"/>
              <w:rPr>
                <w:rFonts w:ascii="宋体" w:hAnsi="宋体" w:cs="宋体"/>
                <w:b/>
                <w:color w:val="000000" w:themeColor="text1"/>
                <w:sz w:val="22"/>
                <w:szCs w:val="22"/>
                <w:highlight w:val="none"/>
                <w14:textFill>
                  <w14:solidFill>
                    <w14:schemeClr w14:val="tx1"/>
                  </w14:solidFill>
                </w14:textFill>
              </w:rPr>
            </w:pPr>
          </w:p>
        </w:tc>
        <w:tc>
          <w:tcPr>
            <w:tcW w:w="3961" w:type="dxa"/>
            <w:gridSpan w:val="2"/>
          </w:tcPr>
          <w:p w14:paraId="5DC0F8D3">
            <w:pPr>
              <w:jc w:val="center"/>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w:t>
            </w:r>
          </w:p>
        </w:tc>
        <w:tc>
          <w:tcPr>
            <w:tcW w:w="1371" w:type="dxa"/>
          </w:tcPr>
          <w:p w14:paraId="12C8027F">
            <w:pPr>
              <w:jc w:val="center"/>
              <w:rPr>
                <w:rFonts w:ascii="宋体" w:hAnsi="宋体" w:cs="宋体"/>
                <w:b/>
                <w:color w:val="000000" w:themeColor="text1"/>
                <w:sz w:val="22"/>
                <w:szCs w:val="22"/>
                <w:highlight w:val="none"/>
                <w14:textFill>
                  <w14:solidFill>
                    <w14:schemeClr w14:val="tx1"/>
                  </w14:solidFill>
                </w14:textFill>
              </w:rPr>
            </w:pPr>
          </w:p>
        </w:tc>
        <w:tc>
          <w:tcPr>
            <w:tcW w:w="1106" w:type="dxa"/>
          </w:tcPr>
          <w:p w14:paraId="05F69EA0">
            <w:pPr>
              <w:jc w:val="center"/>
              <w:rPr>
                <w:rFonts w:ascii="宋体" w:hAnsi="宋体" w:cs="宋体"/>
                <w:b/>
                <w:color w:val="000000" w:themeColor="text1"/>
                <w:sz w:val="22"/>
                <w:szCs w:val="22"/>
                <w:highlight w:val="none"/>
                <w14:textFill>
                  <w14:solidFill>
                    <w14:schemeClr w14:val="tx1"/>
                  </w14:solidFill>
                </w14:textFill>
              </w:rPr>
            </w:pPr>
          </w:p>
        </w:tc>
        <w:tc>
          <w:tcPr>
            <w:tcW w:w="1201" w:type="dxa"/>
          </w:tcPr>
          <w:p w14:paraId="07ED2F73">
            <w:pPr>
              <w:jc w:val="center"/>
              <w:rPr>
                <w:rFonts w:ascii="宋体" w:hAnsi="宋体" w:cs="宋体"/>
                <w:b/>
                <w:color w:val="000000" w:themeColor="text1"/>
                <w:sz w:val="22"/>
                <w:szCs w:val="22"/>
                <w:highlight w:val="none"/>
                <w14:textFill>
                  <w14:solidFill>
                    <w14:schemeClr w14:val="tx1"/>
                  </w14:solidFill>
                </w14:textFill>
              </w:rPr>
            </w:pPr>
          </w:p>
        </w:tc>
      </w:tr>
    </w:tbl>
    <w:p w14:paraId="4F8D6479">
      <w:pPr>
        <w:ind w:firstLine="442" w:firstLineChars="200"/>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注：请投标人按照“关键信息——投标文件初审表、评标信息”的审查和评分内容，自上而下的顺序填写本表。因项目次序混乱而影响评标效率及评标结果者，投标人自负其责。</w:t>
      </w:r>
    </w:p>
    <w:p w14:paraId="6FBB9DAB">
      <w:pPr>
        <w:jc w:val="center"/>
        <w:rPr>
          <w:rFonts w:ascii="宋体" w:hAnsi="宋体" w:cs="宋体"/>
          <w:color w:val="000000" w:themeColor="text1"/>
          <w:szCs w:val="21"/>
          <w:highlight w:val="none"/>
          <w14:textFill>
            <w14:solidFill>
              <w14:schemeClr w14:val="tx1"/>
            </w14:solidFill>
          </w14:textFill>
        </w:rPr>
      </w:pPr>
    </w:p>
    <w:p w14:paraId="55A2290A">
      <w:pPr>
        <w:rPr>
          <w:color w:val="000000" w:themeColor="text1"/>
          <w:highlight w:val="none"/>
          <w14:textFill>
            <w14:solidFill>
              <w14:schemeClr w14:val="tx1"/>
            </w14:solidFill>
          </w14:textFill>
        </w:rPr>
      </w:pPr>
    </w:p>
    <w:p w14:paraId="12670B18">
      <w:pPr>
        <w:numPr>
          <w:ilvl w:val="0"/>
          <w:numId w:val="0"/>
        </w:numPr>
        <w:ind w:left="420" w:leftChars="0" w:firstLine="0" w:firstLineChars="0"/>
        <w:jc w:val="center"/>
        <w:outlineLvl w:val="3"/>
        <w:rPr>
          <w:rFonts w:ascii="宋体" w:hAnsi="宋体" w:cs="宋体"/>
          <w:b/>
          <w:color w:val="000000" w:themeColor="text1"/>
          <w:sz w:val="32"/>
          <w:szCs w:val="32"/>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br w:type="page"/>
      </w:r>
      <w:r>
        <w:rPr>
          <w:rFonts w:hint="eastAsia" w:ascii="宋体" w:hAnsi="宋体" w:eastAsia="宋体" w:cs="宋体"/>
          <w:b/>
          <w:bCs/>
          <w:color w:val="000000" w:themeColor="text1"/>
          <w:kern w:val="2"/>
          <w:sz w:val="32"/>
          <w:szCs w:val="32"/>
          <w:highlight w:val="none"/>
          <w:lang w:val="en-US" w:eastAsia="zh-CN" w:bidi="ar-SA"/>
          <w14:textFill>
            <w14:solidFill>
              <w14:schemeClr w14:val="tx1"/>
            </w14:solidFill>
          </w14:textFill>
        </w:rPr>
        <w:t>二、</w:t>
      </w:r>
      <w:r>
        <w:rPr>
          <w:rFonts w:hint="eastAsia" w:ascii="宋体" w:hAnsi="宋体" w:cs="宋体"/>
          <w:b/>
          <w:color w:val="000000" w:themeColor="text1"/>
          <w:sz w:val="32"/>
          <w:szCs w:val="32"/>
          <w:highlight w:val="none"/>
          <w14:textFill>
            <w14:solidFill>
              <w14:schemeClr w14:val="tx1"/>
            </w14:solidFill>
          </w14:textFill>
        </w:rPr>
        <w:t>投标函</w:t>
      </w:r>
    </w:p>
    <w:p w14:paraId="0A993F49">
      <w:pPr>
        <w:spacing w:line="360" w:lineRule="exac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致：</w:t>
      </w:r>
      <w:r>
        <w:rPr>
          <w:rFonts w:hint="eastAsia" w:ascii="宋体" w:hAnsi="宋体" w:cs="宋体"/>
          <w:color w:val="000000" w:themeColor="text1"/>
          <w:kern w:val="0"/>
          <w:sz w:val="22"/>
          <w:szCs w:val="22"/>
          <w:highlight w:val="none"/>
          <w14:textFill>
            <w14:solidFill>
              <w14:schemeClr w14:val="tx1"/>
            </w14:solidFill>
          </w14:textFill>
        </w:rPr>
        <w:t>深圳市东海国际招标有限公司</w:t>
      </w:r>
    </w:p>
    <w:p w14:paraId="29229951">
      <w:pPr>
        <w:spacing w:line="360" w:lineRule="exact"/>
        <w:ind w:firstLine="440" w:firstLineChars="200"/>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根据贵方</w:t>
      </w:r>
      <w:r>
        <w:rPr>
          <w:rFonts w:hint="eastAsia" w:ascii="宋体" w:hAnsi="宋体" w:cs="宋体"/>
          <w:color w:val="000000" w:themeColor="text1"/>
          <w:sz w:val="22"/>
          <w:szCs w:val="22"/>
          <w:highlight w:val="none"/>
          <w:u w:val="single"/>
          <w14:textFill>
            <w14:solidFill>
              <w14:schemeClr w14:val="tx1"/>
            </w14:solidFill>
          </w14:textFill>
        </w:rPr>
        <w:t xml:space="preserve">                     （项目名称）</w:t>
      </w:r>
      <w:r>
        <w:rPr>
          <w:rFonts w:hint="eastAsia" w:ascii="宋体" w:hAnsi="宋体" w:cs="宋体"/>
          <w:color w:val="000000" w:themeColor="text1"/>
          <w:sz w:val="22"/>
          <w:szCs w:val="22"/>
          <w:highlight w:val="none"/>
          <w14:textFill>
            <w14:solidFill>
              <w14:schemeClr w14:val="tx1"/>
            </w14:solidFill>
          </w14:textFill>
        </w:rPr>
        <w:t>的招标公告</w:t>
      </w:r>
      <w:r>
        <w:rPr>
          <w:rFonts w:hint="eastAsia" w:ascii="宋体" w:hAnsi="宋体" w:cs="宋体"/>
          <w:color w:val="000000" w:themeColor="text1"/>
          <w:sz w:val="22"/>
          <w:szCs w:val="22"/>
          <w:highlight w:val="none"/>
          <w:u w:val="single"/>
          <w14:textFill>
            <w14:solidFill>
              <w14:schemeClr w14:val="tx1"/>
            </w14:solidFill>
          </w14:textFill>
        </w:rPr>
        <w:t>（项目编号为      ）</w:t>
      </w:r>
      <w:r>
        <w:rPr>
          <w:rFonts w:hint="eastAsia" w:ascii="宋体" w:hAnsi="宋体" w:cs="宋体"/>
          <w:color w:val="000000" w:themeColor="text1"/>
          <w:sz w:val="22"/>
          <w:szCs w:val="22"/>
          <w:highlight w:val="none"/>
          <w14:textFill>
            <w14:solidFill>
              <w14:schemeClr w14:val="tx1"/>
            </w14:solidFill>
          </w14:textFill>
        </w:rPr>
        <w:t>，本人经我方法定代表人授权正式代表投标人（投标人的名称），提交唱标信封1份及投标文件正本1份，副本5份，投标文件电子版1份（盖章扫描件）。</w:t>
      </w:r>
    </w:p>
    <w:p w14:paraId="69D63AD2">
      <w:pPr>
        <w:spacing w:line="360" w:lineRule="exac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 xml:space="preserve">    据此函，本人代表投标方保证，所提供的全部资料是真实的。本人承诺：</w:t>
      </w:r>
    </w:p>
    <w:p w14:paraId="5801D6DB">
      <w:pPr>
        <w:spacing w:line="360" w:lineRule="exact"/>
        <w:ind w:firstLine="440" w:firstLineChars="200"/>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（1）我方愿以开标一览表中的投标报价并按采购文件要求承包上述项目并修补其任何缺陷；</w:t>
      </w:r>
    </w:p>
    <w:p w14:paraId="5982C6B4">
      <w:pPr>
        <w:spacing w:line="360" w:lineRule="exact"/>
        <w:ind w:firstLine="440" w:firstLineChars="200"/>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（2）我方承担根据采购文件的规定，完成合同的责任和义务。</w:t>
      </w:r>
    </w:p>
    <w:p w14:paraId="6E2F676E">
      <w:pPr>
        <w:spacing w:line="360" w:lineRule="exact"/>
        <w:ind w:firstLine="440" w:firstLineChars="200"/>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（3）我方已详细阅读了全部采购文件，包括采购文件修改书（如果有的话），参考资料及有关附件，我们完全理解并同意放弃对这方面有不清楚或误解的问题和质疑投诉的权利。</w:t>
      </w:r>
    </w:p>
    <w:p w14:paraId="1FCD3015">
      <w:pPr>
        <w:spacing w:line="360" w:lineRule="exact"/>
        <w:ind w:firstLine="440" w:firstLineChars="200"/>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（4）我方同意所递交的投标文件在“关键信息-投标须知前附表”规定的投标有效期内有效，在此期间内我方的投标有可能中标，我方将受此约束。如果在投标有效期内撤回其投标，其投标</w:t>
      </w:r>
      <w:r>
        <w:rPr>
          <w:rFonts w:hint="default" w:ascii="宋体" w:hAnsi="宋体" w:cs="宋体"/>
          <w:color w:val="000000" w:themeColor="text1"/>
          <w:sz w:val="22"/>
          <w:szCs w:val="22"/>
          <w:highlight w:val="none"/>
          <w14:textFill>
            <w14:solidFill>
              <w14:schemeClr w14:val="tx1"/>
            </w14:solidFill>
          </w14:textFill>
        </w:rPr>
        <w:t>保函</w:t>
      </w:r>
      <w:r>
        <w:rPr>
          <w:rFonts w:hint="eastAsia" w:ascii="宋体" w:hAnsi="宋体" w:cs="宋体"/>
          <w:color w:val="000000" w:themeColor="text1"/>
          <w:sz w:val="22"/>
          <w:szCs w:val="22"/>
          <w:highlight w:val="none"/>
          <w14:textFill>
            <w14:solidFill>
              <w14:schemeClr w14:val="tx1"/>
            </w14:solidFill>
          </w14:textFill>
        </w:rPr>
        <w:t>将全部被没收。</w:t>
      </w:r>
    </w:p>
    <w:p w14:paraId="32DF9F7F">
      <w:pPr>
        <w:spacing w:line="360" w:lineRule="exact"/>
        <w:ind w:firstLine="440" w:firstLineChars="200"/>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（5）除非另外达成协议并生效，贵方的中标通知书和本投标文件将构成约束我们双方的合同。</w:t>
      </w:r>
    </w:p>
    <w:p w14:paraId="21693EEF">
      <w:pPr>
        <w:spacing w:line="360" w:lineRule="exact"/>
        <w:ind w:firstLine="440" w:firstLineChars="200"/>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（6）同意向贵方提供贵方可能要求的与本投标有关的任何证据或资料。</w:t>
      </w:r>
    </w:p>
    <w:p w14:paraId="2A2DF0BE">
      <w:pPr>
        <w:spacing w:line="360" w:lineRule="exact"/>
        <w:ind w:firstLine="440" w:firstLineChars="200"/>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（7）我方完全理解贵方不一定要接受最低报价的投标或收到的任何投标。</w:t>
      </w:r>
    </w:p>
    <w:p w14:paraId="4B527DCC">
      <w:pPr>
        <w:spacing w:line="360" w:lineRule="exact"/>
        <w:ind w:firstLine="440" w:firstLineChars="200"/>
        <w:rPr>
          <w:rFonts w:ascii="宋体" w:hAnsi="宋体" w:cs="宋体"/>
          <w:color w:val="000000" w:themeColor="text1"/>
          <w:sz w:val="22"/>
          <w:szCs w:val="22"/>
          <w:highlight w:val="none"/>
          <w14:textFill>
            <w14:solidFill>
              <w14:schemeClr w14:val="tx1"/>
            </w14:solidFill>
          </w14:textFill>
        </w:rPr>
      </w:pPr>
    </w:p>
    <w:p w14:paraId="6A900E2E">
      <w:pPr>
        <w:spacing w:line="360" w:lineRule="exact"/>
        <w:ind w:firstLine="440" w:firstLineChars="200"/>
        <w:rPr>
          <w:rFonts w:ascii="宋体" w:hAnsi="宋体" w:cs="宋体"/>
          <w:color w:val="000000" w:themeColor="text1"/>
          <w:sz w:val="22"/>
          <w:szCs w:val="22"/>
          <w:highlight w:val="none"/>
          <w14:textFill>
            <w14:solidFill>
              <w14:schemeClr w14:val="tx1"/>
            </w14:solidFill>
          </w14:textFill>
        </w:rPr>
      </w:pPr>
    </w:p>
    <w:p w14:paraId="33377D14">
      <w:pPr>
        <w:spacing w:line="360" w:lineRule="exact"/>
        <w:ind w:firstLine="440" w:firstLineChars="200"/>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与本投标有关的正式通信方式：</w:t>
      </w:r>
    </w:p>
    <w:p w14:paraId="17967882">
      <w:pPr>
        <w:spacing w:line="360" w:lineRule="exact"/>
        <w:ind w:firstLine="440" w:firstLineChars="200"/>
        <w:rPr>
          <w:rFonts w:ascii="宋体" w:hAnsi="宋体" w:cs="宋体"/>
          <w:color w:val="000000" w:themeColor="text1"/>
          <w:sz w:val="22"/>
          <w:szCs w:val="22"/>
          <w:highlight w:val="none"/>
          <w:u w:val="singl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地址： 邮政编码：</w:t>
      </w:r>
    </w:p>
    <w:p w14:paraId="640F21DF">
      <w:pPr>
        <w:spacing w:line="360" w:lineRule="exact"/>
        <w:ind w:firstLine="440" w:firstLineChars="200"/>
        <w:rPr>
          <w:rFonts w:ascii="宋体" w:hAnsi="宋体" w:cs="宋体"/>
          <w:color w:val="000000" w:themeColor="text1"/>
          <w:sz w:val="22"/>
          <w:szCs w:val="22"/>
          <w:highlight w:val="none"/>
          <w:u w:val="singl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电话、手机、传真或电传：</w:t>
      </w:r>
    </w:p>
    <w:p w14:paraId="338B45BD">
      <w:pPr>
        <w:spacing w:line="360" w:lineRule="exact"/>
        <w:ind w:firstLine="440" w:firstLineChars="200"/>
        <w:rPr>
          <w:rFonts w:ascii="宋体" w:hAnsi="宋体" w:cs="宋体"/>
          <w:color w:val="000000" w:themeColor="text1"/>
          <w:sz w:val="22"/>
          <w:szCs w:val="22"/>
          <w:highlight w:val="none"/>
          <w:u w:val="singl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开户银行名称： 开户银行账号：</w:t>
      </w:r>
    </w:p>
    <w:p w14:paraId="223D42F5">
      <w:pPr>
        <w:spacing w:line="360" w:lineRule="exact"/>
        <w:ind w:firstLine="440" w:firstLineChars="200"/>
        <w:rPr>
          <w:rFonts w:ascii="宋体" w:hAnsi="宋体" w:cs="宋体"/>
          <w:color w:val="000000" w:themeColor="text1"/>
          <w:sz w:val="22"/>
          <w:szCs w:val="22"/>
          <w:highlight w:val="none"/>
          <w:u w:val="singl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开户银行地址： 开户银行电话：</w:t>
      </w:r>
    </w:p>
    <w:p w14:paraId="31406B60">
      <w:pPr>
        <w:spacing w:line="360" w:lineRule="exact"/>
        <w:ind w:firstLine="5317" w:firstLineChars="2417"/>
        <w:rPr>
          <w:rFonts w:ascii="宋体" w:hAnsi="宋体" w:cs="宋体"/>
          <w:color w:val="000000" w:themeColor="text1"/>
          <w:sz w:val="22"/>
          <w:szCs w:val="22"/>
          <w:highlight w:val="none"/>
          <w14:textFill>
            <w14:solidFill>
              <w14:schemeClr w14:val="tx1"/>
            </w14:solidFill>
          </w14:textFill>
        </w:rPr>
      </w:pPr>
    </w:p>
    <w:p w14:paraId="7EC39C6C">
      <w:pPr>
        <w:spacing w:line="360" w:lineRule="auto"/>
        <w:rPr>
          <w:color w:val="000000" w:themeColor="text1"/>
          <w:sz w:val="22"/>
          <w:highlight w:val="none"/>
          <w14:textFill>
            <w14:solidFill>
              <w14:schemeClr w14:val="tx1"/>
            </w14:solidFill>
          </w14:textFill>
        </w:rPr>
      </w:pPr>
      <w:r>
        <w:rPr>
          <w:rFonts w:hint="eastAsia" w:ascii="宋体" w:hAnsi="宋体"/>
          <w:color w:val="000000" w:themeColor="text1"/>
          <w:sz w:val="22"/>
          <w:highlight w:val="none"/>
          <w:lang w:val="zh-CN"/>
          <w14:textFill>
            <w14:solidFill>
              <w14:schemeClr w14:val="tx1"/>
            </w14:solidFill>
          </w14:textFill>
        </w:rPr>
        <w:t>法定代表人（</w:t>
      </w:r>
      <w:r>
        <w:rPr>
          <w:rFonts w:hint="eastAsia" w:ascii="宋体" w:hAnsi="宋体"/>
          <w:color w:val="000000" w:themeColor="text1"/>
          <w:sz w:val="22"/>
          <w:highlight w:val="none"/>
          <w14:textFill>
            <w14:solidFill>
              <w14:schemeClr w14:val="tx1"/>
            </w14:solidFill>
          </w14:textFill>
        </w:rPr>
        <w:t>单位负责人</w:t>
      </w:r>
      <w:r>
        <w:rPr>
          <w:rFonts w:hint="eastAsia" w:ascii="宋体" w:hAnsi="宋体"/>
          <w:color w:val="000000" w:themeColor="text1"/>
          <w:sz w:val="22"/>
          <w:highlight w:val="none"/>
          <w:lang w:val="zh-CN"/>
          <w14:textFill>
            <w14:solidFill>
              <w14:schemeClr w14:val="tx1"/>
            </w14:solidFill>
          </w14:textFill>
        </w:rPr>
        <w:t>）或其授权代表（签字</w:t>
      </w:r>
      <w:r>
        <w:rPr>
          <w:rFonts w:hint="eastAsia" w:ascii="宋体" w:hAnsi="宋体"/>
          <w:color w:val="000000" w:themeColor="text1"/>
          <w:sz w:val="22"/>
          <w:highlight w:val="none"/>
          <w14:textFill>
            <w14:solidFill>
              <w14:schemeClr w14:val="tx1"/>
            </w14:solidFill>
          </w14:textFill>
        </w:rPr>
        <w:t>或盖章</w:t>
      </w:r>
      <w:r>
        <w:rPr>
          <w:rFonts w:hint="eastAsia" w:ascii="宋体" w:hAnsi="宋体"/>
          <w:color w:val="000000" w:themeColor="text1"/>
          <w:sz w:val="22"/>
          <w:highlight w:val="none"/>
          <w:lang w:val="zh-CN"/>
          <w14:textFill>
            <w14:solidFill>
              <w14:schemeClr w14:val="tx1"/>
            </w14:solidFill>
          </w14:textFill>
        </w:rPr>
        <w:t>）</w:t>
      </w:r>
      <w:r>
        <w:rPr>
          <w:rFonts w:hint="eastAsia"/>
          <w:color w:val="000000" w:themeColor="text1"/>
          <w:sz w:val="22"/>
          <w:highlight w:val="none"/>
          <w14:textFill>
            <w14:solidFill>
              <w14:schemeClr w14:val="tx1"/>
            </w14:solidFill>
          </w14:textFill>
        </w:rPr>
        <w:t xml:space="preserve">：                   </w:t>
      </w:r>
    </w:p>
    <w:p w14:paraId="033FEA2A">
      <w:pPr>
        <w:spacing w:line="360" w:lineRule="auto"/>
        <w:rPr>
          <w:color w:val="000000" w:themeColor="text1"/>
          <w:sz w:val="22"/>
          <w:highlight w:val="none"/>
          <w14:textFill>
            <w14:solidFill>
              <w14:schemeClr w14:val="tx1"/>
            </w14:solidFill>
          </w14:textFill>
        </w:rPr>
      </w:pPr>
      <w:r>
        <w:rPr>
          <w:rFonts w:hint="eastAsia"/>
          <w:color w:val="000000" w:themeColor="text1"/>
          <w:sz w:val="22"/>
          <w:highlight w:val="none"/>
          <w14:textFill>
            <w14:solidFill>
              <w14:schemeClr w14:val="tx1"/>
            </w14:solidFill>
          </w14:textFill>
        </w:rPr>
        <w:t xml:space="preserve">投标人名称（盖章）：                        </w:t>
      </w:r>
    </w:p>
    <w:p w14:paraId="7394E483">
      <w:pPr>
        <w:spacing w:line="360" w:lineRule="auto"/>
        <w:rPr>
          <w:color w:val="000000" w:themeColor="text1"/>
          <w:sz w:val="22"/>
          <w:highlight w:val="none"/>
          <w14:textFill>
            <w14:solidFill>
              <w14:schemeClr w14:val="tx1"/>
            </w14:solidFill>
          </w14:textFill>
        </w:rPr>
      </w:pPr>
      <w:r>
        <w:rPr>
          <w:rFonts w:hint="eastAsia"/>
          <w:color w:val="000000" w:themeColor="text1"/>
          <w:sz w:val="22"/>
          <w:highlight w:val="none"/>
          <w14:textFill>
            <w14:solidFill>
              <w14:schemeClr w14:val="tx1"/>
            </w14:solidFill>
          </w14:textFill>
        </w:rPr>
        <w:t>日期：   年   月   日</w:t>
      </w:r>
    </w:p>
    <w:p w14:paraId="76210958">
      <w:pPr>
        <w:rPr>
          <w:b/>
          <w:color w:val="000000" w:themeColor="text1"/>
          <w:sz w:val="24"/>
          <w:highlight w:val="none"/>
          <w14:textFill>
            <w14:solidFill>
              <w14:schemeClr w14:val="tx1"/>
            </w14:solidFill>
          </w14:textFill>
        </w:rPr>
      </w:pPr>
    </w:p>
    <w:p w14:paraId="4B1D893B">
      <w:pPr>
        <w:jc w:val="center"/>
        <w:rPr>
          <w:b/>
          <w:bCs/>
          <w:color w:val="000000" w:themeColor="text1"/>
          <w:sz w:val="32"/>
          <w:szCs w:val="32"/>
          <w:highlight w:val="none"/>
          <w14:textFill>
            <w14:solidFill>
              <w14:schemeClr w14:val="tx1"/>
            </w14:solidFill>
          </w14:textFill>
        </w:rPr>
      </w:pPr>
    </w:p>
    <w:p w14:paraId="74643314">
      <w:pPr>
        <w:spacing w:line="360" w:lineRule="auto"/>
        <w:jc w:val="center"/>
        <w:rPr>
          <w:b/>
          <w:bCs/>
          <w:color w:val="000000" w:themeColor="text1"/>
          <w:sz w:val="32"/>
          <w:szCs w:val="32"/>
          <w:highlight w:val="none"/>
          <w14:textFill>
            <w14:solidFill>
              <w14:schemeClr w14:val="tx1"/>
            </w14:solidFill>
          </w14:textFill>
        </w:rPr>
      </w:pPr>
    </w:p>
    <w:p w14:paraId="2D82BAEF">
      <w:pPr>
        <w:rPr>
          <w:color w:val="000000" w:themeColor="text1"/>
          <w:highlight w:val="none"/>
          <w14:textFill>
            <w14:solidFill>
              <w14:schemeClr w14:val="tx1"/>
            </w14:solidFill>
          </w14:textFill>
        </w:rPr>
      </w:pPr>
    </w:p>
    <w:p w14:paraId="4F11BE98">
      <w:pPr>
        <w:outlineLvl w:val="9"/>
        <w:rPr>
          <w:highlight w:val="none"/>
        </w:rPr>
      </w:pPr>
    </w:p>
    <w:p w14:paraId="201D3E93">
      <w:pPr>
        <w:outlineLvl w:val="9"/>
        <w:rPr>
          <w:highlight w:val="none"/>
        </w:rPr>
      </w:pPr>
    </w:p>
    <w:p w14:paraId="3CB49E2E">
      <w:pPr>
        <w:outlineLvl w:val="9"/>
        <w:rPr>
          <w:highlight w:val="none"/>
        </w:rPr>
      </w:pPr>
    </w:p>
    <w:p w14:paraId="799B797D">
      <w:pPr>
        <w:outlineLvl w:val="9"/>
        <w:rPr>
          <w:highlight w:val="none"/>
        </w:rPr>
      </w:pPr>
    </w:p>
    <w:p w14:paraId="7ABA05ED">
      <w:pPr>
        <w:outlineLvl w:val="9"/>
        <w:rPr>
          <w:highlight w:val="none"/>
        </w:rPr>
      </w:pPr>
    </w:p>
    <w:p w14:paraId="157D882D">
      <w:pPr>
        <w:numPr>
          <w:ilvl w:val="0"/>
          <w:numId w:val="0"/>
        </w:numPr>
        <w:ind w:left="420" w:leftChars="0" w:firstLine="0" w:firstLineChars="0"/>
        <w:jc w:val="center"/>
        <w:outlineLvl w:val="3"/>
        <w:rPr>
          <w:rFonts w:ascii="宋体" w:hAnsi="宋体" w:cs="宋体"/>
          <w:b/>
          <w:bCs/>
          <w:sz w:val="32"/>
          <w:highlight w:val="none"/>
        </w:rPr>
      </w:pPr>
      <w:r>
        <w:rPr>
          <w:rFonts w:hint="eastAsia" w:ascii="宋体" w:hAnsi="宋体" w:eastAsia="宋体" w:cs="宋体"/>
          <w:b/>
          <w:bCs/>
          <w:kern w:val="2"/>
          <w:sz w:val="32"/>
          <w:szCs w:val="32"/>
          <w:highlight w:val="none"/>
          <w:lang w:val="en-US" w:eastAsia="zh-CN" w:bidi="ar-SA"/>
        </w:rPr>
        <w:t>三、</w:t>
      </w:r>
      <w:r>
        <w:rPr>
          <w:rFonts w:hint="eastAsia" w:ascii="宋体" w:hAnsi="宋体" w:cs="宋体"/>
          <w:b/>
          <w:bCs/>
          <w:sz w:val="32"/>
          <w:highlight w:val="none"/>
        </w:rPr>
        <w:t>政府采购投标及履约承诺函</w:t>
      </w:r>
    </w:p>
    <w:p w14:paraId="30F135D7">
      <w:pPr>
        <w:widowControl/>
        <w:spacing w:line="240" w:lineRule="exact"/>
        <w:jc w:val="left"/>
        <w:rPr>
          <w:rFonts w:ascii="宋体" w:hAnsi="宋体" w:cs="宋体"/>
          <w:kern w:val="0"/>
          <w:sz w:val="32"/>
          <w:szCs w:val="18"/>
          <w:highlight w:val="none"/>
        </w:rPr>
      </w:pPr>
    </w:p>
    <w:p w14:paraId="4DCEDC78">
      <w:pPr>
        <w:widowControl/>
        <w:snapToGrid w:val="0"/>
        <w:spacing w:line="360" w:lineRule="auto"/>
        <w:jc w:val="left"/>
        <w:rPr>
          <w:rFonts w:ascii="宋体" w:hAnsi="宋体" w:cs="宋体"/>
          <w:kern w:val="0"/>
          <w:sz w:val="22"/>
          <w:szCs w:val="22"/>
          <w:highlight w:val="none"/>
        </w:rPr>
      </w:pPr>
      <w:r>
        <w:rPr>
          <w:rFonts w:hint="eastAsia" w:ascii="宋体" w:hAnsi="宋体" w:cs="宋体"/>
          <w:kern w:val="0"/>
          <w:sz w:val="22"/>
          <w:szCs w:val="22"/>
          <w:highlight w:val="none"/>
        </w:rPr>
        <w:t xml:space="preserve">致：深圳市东海国际招标有限公司                      </w:t>
      </w:r>
    </w:p>
    <w:p w14:paraId="6F6F5031">
      <w:pPr>
        <w:widowControl/>
        <w:snapToGrid w:val="0"/>
        <w:spacing w:line="360" w:lineRule="auto"/>
        <w:ind w:firstLine="440" w:firstLineChars="200"/>
        <w:jc w:val="left"/>
        <w:rPr>
          <w:rFonts w:ascii="宋体" w:hAnsi="宋体" w:cs="宋体"/>
          <w:kern w:val="0"/>
          <w:sz w:val="22"/>
          <w:szCs w:val="22"/>
          <w:highlight w:val="none"/>
        </w:rPr>
      </w:pPr>
      <w:r>
        <w:rPr>
          <w:rFonts w:hint="eastAsia" w:ascii="宋体" w:hAnsi="宋体" w:cs="宋体"/>
          <w:kern w:val="0"/>
          <w:sz w:val="22"/>
          <w:szCs w:val="22"/>
          <w:highlight w:val="none"/>
        </w:rPr>
        <w:t xml:space="preserve">本公司就参加 </w:t>
      </w:r>
      <w:r>
        <w:rPr>
          <w:rFonts w:hint="eastAsia" w:ascii="宋体" w:hAnsi="宋体" w:cs="宋体"/>
          <w:kern w:val="0"/>
          <w:sz w:val="22"/>
          <w:szCs w:val="22"/>
          <w:highlight w:val="none"/>
          <w:u w:val="single"/>
        </w:rPr>
        <w:t xml:space="preserve">                      </w:t>
      </w:r>
      <w:r>
        <w:rPr>
          <w:rFonts w:hint="eastAsia" w:ascii="宋体" w:hAnsi="宋体" w:cs="宋体"/>
          <w:kern w:val="0"/>
          <w:sz w:val="22"/>
          <w:szCs w:val="22"/>
          <w:highlight w:val="none"/>
        </w:rPr>
        <w:t>项目投标工作，作出承诺：</w:t>
      </w:r>
    </w:p>
    <w:p w14:paraId="4D2C1BCC">
      <w:pPr>
        <w:widowControl/>
        <w:snapToGrid w:val="0"/>
        <w:spacing w:line="360" w:lineRule="auto"/>
        <w:ind w:firstLine="440" w:firstLineChars="200"/>
        <w:jc w:val="left"/>
        <w:rPr>
          <w:rFonts w:ascii="宋体" w:hAnsi="宋体" w:cs="宋体"/>
          <w:kern w:val="0"/>
          <w:sz w:val="22"/>
          <w:szCs w:val="22"/>
          <w:highlight w:val="none"/>
        </w:rPr>
      </w:pPr>
      <w:r>
        <w:rPr>
          <w:rFonts w:hint="eastAsia" w:ascii="宋体" w:hAnsi="宋体" w:cs="宋体"/>
          <w:kern w:val="0"/>
          <w:sz w:val="22"/>
          <w:szCs w:val="22"/>
          <w:highlight w:val="none"/>
        </w:rPr>
        <w:t>1．我公司已完全理解该项目招标公告所列明的全部条件，亦保证我公司完全符合本项目的投标条件，具备《中华人民共和国政府采购法》第二十二条规定的条件：</w:t>
      </w:r>
    </w:p>
    <w:p w14:paraId="35E1AFF4">
      <w:pPr>
        <w:widowControl/>
        <w:snapToGrid w:val="0"/>
        <w:spacing w:line="360" w:lineRule="auto"/>
        <w:ind w:firstLine="440" w:firstLineChars="200"/>
        <w:jc w:val="left"/>
        <w:rPr>
          <w:rFonts w:ascii="宋体" w:hAnsi="宋体" w:cs="宋体"/>
          <w:kern w:val="0"/>
          <w:sz w:val="22"/>
          <w:szCs w:val="22"/>
          <w:highlight w:val="none"/>
        </w:rPr>
      </w:pPr>
      <w:r>
        <w:rPr>
          <w:rFonts w:hint="eastAsia" w:ascii="宋体" w:hAnsi="宋体" w:cs="宋体"/>
          <w:kern w:val="0"/>
          <w:sz w:val="22"/>
          <w:szCs w:val="22"/>
          <w:highlight w:val="none"/>
        </w:rPr>
        <w:t>（1）具有独立承担民事责任的能力；</w:t>
      </w:r>
    </w:p>
    <w:p w14:paraId="621EC6B3">
      <w:pPr>
        <w:widowControl/>
        <w:snapToGrid w:val="0"/>
        <w:spacing w:line="360" w:lineRule="auto"/>
        <w:ind w:firstLine="440" w:firstLineChars="200"/>
        <w:jc w:val="left"/>
        <w:rPr>
          <w:rFonts w:ascii="宋体" w:hAnsi="宋体" w:cs="宋体"/>
          <w:kern w:val="0"/>
          <w:sz w:val="22"/>
          <w:szCs w:val="22"/>
          <w:highlight w:val="none"/>
        </w:rPr>
      </w:pPr>
      <w:r>
        <w:rPr>
          <w:rFonts w:hint="eastAsia" w:ascii="宋体" w:hAnsi="宋体" w:cs="宋体"/>
          <w:kern w:val="0"/>
          <w:sz w:val="22"/>
          <w:szCs w:val="22"/>
          <w:highlight w:val="none"/>
        </w:rPr>
        <w:t>（2）具有良好的商业信誉和健全的财务会计制度；</w:t>
      </w:r>
    </w:p>
    <w:p w14:paraId="11FA1B00">
      <w:pPr>
        <w:widowControl/>
        <w:snapToGrid w:val="0"/>
        <w:spacing w:line="360" w:lineRule="auto"/>
        <w:ind w:firstLine="440" w:firstLineChars="200"/>
        <w:jc w:val="left"/>
        <w:rPr>
          <w:rFonts w:ascii="宋体" w:hAnsi="宋体" w:cs="宋体"/>
          <w:kern w:val="0"/>
          <w:sz w:val="22"/>
          <w:szCs w:val="22"/>
          <w:highlight w:val="none"/>
        </w:rPr>
      </w:pPr>
      <w:r>
        <w:rPr>
          <w:rFonts w:hint="eastAsia" w:ascii="宋体" w:hAnsi="宋体" w:cs="宋体"/>
          <w:kern w:val="0"/>
          <w:sz w:val="22"/>
          <w:szCs w:val="22"/>
          <w:highlight w:val="none"/>
        </w:rPr>
        <w:t>（3）具有履行合同所必需的设备和专业技术能力；</w:t>
      </w:r>
    </w:p>
    <w:p w14:paraId="03F5A9EB">
      <w:pPr>
        <w:widowControl/>
        <w:snapToGrid w:val="0"/>
        <w:spacing w:line="360" w:lineRule="auto"/>
        <w:ind w:firstLine="440" w:firstLineChars="200"/>
        <w:jc w:val="left"/>
        <w:rPr>
          <w:rFonts w:ascii="宋体" w:hAnsi="宋体" w:cs="宋体"/>
          <w:kern w:val="0"/>
          <w:sz w:val="22"/>
          <w:szCs w:val="22"/>
          <w:highlight w:val="none"/>
        </w:rPr>
      </w:pPr>
      <w:r>
        <w:rPr>
          <w:rFonts w:hint="eastAsia" w:ascii="宋体" w:hAnsi="宋体" w:cs="宋体"/>
          <w:kern w:val="0"/>
          <w:sz w:val="22"/>
          <w:szCs w:val="22"/>
          <w:highlight w:val="none"/>
        </w:rPr>
        <w:t>（4）有依法缴纳税收和社会保障资金的良好记录；</w:t>
      </w:r>
    </w:p>
    <w:p w14:paraId="62ECCCB9">
      <w:pPr>
        <w:widowControl/>
        <w:snapToGrid w:val="0"/>
        <w:spacing w:line="360" w:lineRule="auto"/>
        <w:ind w:firstLine="440" w:firstLineChars="200"/>
        <w:jc w:val="left"/>
        <w:rPr>
          <w:rFonts w:ascii="宋体" w:hAnsi="宋体" w:cs="宋体"/>
          <w:kern w:val="0"/>
          <w:sz w:val="22"/>
          <w:szCs w:val="22"/>
          <w:highlight w:val="none"/>
        </w:rPr>
      </w:pPr>
      <w:r>
        <w:rPr>
          <w:rFonts w:hint="eastAsia" w:ascii="宋体" w:hAnsi="宋体" w:cs="宋体"/>
          <w:kern w:val="0"/>
          <w:sz w:val="22"/>
          <w:szCs w:val="22"/>
          <w:highlight w:val="none"/>
        </w:rPr>
        <w:t>（5）参加政府采购活动前三年内，在经营活动中没有重大违法记录；</w:t>
      </w:r>
    </w:p>
    <w:p w14:paraId="03D6C1EB">
      <w:pPr>
        <w:widowControl/>
        <w:snapToGrid w:val="0"/>
        <w:spacing w:line="360" w:lineRule="auto"/>
        <w:ind w:firstLine="440" w:firstLineChars="200"/>
        <w:jc w:val="left"/>
        <w:rPr>
          <w:rFonts w:ascii="宋体" w:hAnsi="宋体" w:cs="宋体"/>
          <w:kern w:val="0"/>
          <w:sz w:val="22"/>
          <w:szCs w:val="22"/>
          <w:highlight w:val="none"/>
        </w:rPr>
      </w:pPr>
      <w:r>
        <w:rPr>
          <w:rFonts w:hint="eastAsia" w:ascii="宋体" w:hAnsi="宋体" w:cs="宋体"/>
          <w:kern w:val="0"/>
          <w:sz w:val="22"/>
          <w:szCs w:val="22"/>
          <w:highlight w:val="none"/>
        </w:rPr>
        <w:t>（6）法律、行政法规规定的其他条件。</w:t>
      </w:r>
    </w:p>
    <w:p w14:paraId="272E5845">
      <w:pPr>
        <w:widowControl/>
        <w:snapToGrid w:val="0"/>
        <w:spacing w:line="360" w:lineRule="auto"/>
        <w:ind w:firstLine="440" w:firstLineChars="200"/>
        <w:jc w:val="left"/>
        <w:rPr>
          <w:rFonts w:ascii="宋体" w:hAnsi="宋体" w:cs="宋体"/>
          <w:kern w:val="0"/>
          <w:sz w:val="22"/>
          <w:szCs w:val="22"/>
          <w:highlight w:val="none"/>
        </w:rPr>
      </w:pPr>
      <w:r>
        <w:rPr>
          <w:rFonts w:hint="eastAsia" w:ascii="宋体" w:hAnsi="宋体" w:cs="宋体"/>
          <w:kern w:val="0"/>
          <w:sz w:val="22"/>
          <w:szCs w:val="22"/>
          <w:highlight w:val="none"/>
        </w:rPr>
        <w:t>2．我公司严格按照</w:t>
      </w:r>
      <w:r>
        <w:rPr>
          <w:rFonts w:hint="eastAsia" w:ascii="宋体" w:hAnsi="宋体" w:cs="宋体"/>
          <w:sz w:val="22"/>
          <w:szCs w:val="22"/>
          <w:highlight w:val="none"/>
        </w:rPr>
        <w:t>贵方</w:t>
      </w:r>
      <w:r>
        <w:rPr>
          <w:rFonts w:hint="eastAsia" w:ascii="宋体" w:hAnsi="宋体" w:cs="宋体"/>
          <w:kern w:val="0"/>
          <w:sz w:val="22"/>
          <w:szCs w:val="22"/>
          <w:highlight w:val="none"/>
        </w:rPr>
        <w:t>提供的标书样本填写和提交相关内容，保证所提交的投标资料全部真实有效，并</w:t>
      </w:r>
      <w:r>
        <w:rPr>
          <w:rFonts w:hint="eastAsia" w:ascii="宋体" w:hAnsi="宋体" w:cs="宋体"/>
          <w:sz w:val="22"/>
          <w:szCs w:val="22"/>
          <w:highlight w:val="none"/>
        </w:rPr>
        <w:t>愿意向贵方及采购单位提供任何与本项目有关的数据、情况和技术资料。</w:t>
      </w:r>
    </w:p>
    <w:p w14:paraId="5820B819">
      <w:pPr>
        <w:widowControl/>
        <w:snapToGrid w:val="0"/>
        <w:spacing w:line="360" w:lineRule="auto"/>
        <w:ind w:firstLine="440" w:firstLineChars="200"/>
        <w:jc w:val="left"/>
        <w:rPr>
          <w:rFonts w:ascii="宋体" w:hAnsi="宋体" w:cs="宋体"/>
          <w:kern w:val="0"/>
          <w:sz w:val="22"/>
          <w:szCs w:val="22"/>
          <w:highlight w:val="none"/>
        </w:rPr>
      </w:pPr>
      <w:r>
        <w:rPr>
          <w:rFonts w:hint="eastAsia" w:ascii="宋体" w:hAnsi="宋体" w:cs="宋体"/>
          <w:kern w:val="0"/>
          <w:sz w:val="22"/>
          <w:szCs w:val="22"/>
          <w:highlight w:val="none"/>
        </w:rPr>
        <w:t>3. 我公司</w:t>
      </w:r>
      <w:r>
        <w:rPr>
          <w:rFonts w:hint="eastAsia" w:ascii="宋体" w:hAnsi="宋体" w:cs="宋体"/>
          <w:sz w:val="22"/>
          <w:szCs w:val="22"/>
          <w:highlight w:val="none"/>
        </w:rPr>
        <w:t>参与本项目投标近三年内（即至少从202</w:t>
      </w:r>
      <w:r>
        <w:rPr>
          <w:rFonts w:hint="eastAsia" w:ascii="宋体" w:hAnsi="宋体" w:cs="宋体"/>
          <w:sz w:val="22"/>
          <w:szCs w:val="22"/>
          <w:highlight w:val="none"/>
          <w:lang w:val="en-US" w:eastAsia="zh-CN"/>
        </w:rPr>
        <w:t>2</w:t>
      </w:r>
      <w:r>
        <w:rPr>
          <w:rFonts w:hint="eastAsia" w:ascii="宋体" w:hAnsi="宋体" w:cs="宋体"/>
          <w:sz w:val="22"/>
          <w:szCs w:val="22"/>
          <w:highlight w:val="none"/>
        </w:rPr>
        <w:t>年1月开始起算，供应商成立不足三年的可从成立之日起算），在经营活动中没有重大违法记录、以及不存在被有关部门禁止参与政府采购活动且在有效期内的情况</w:t>
      </w:r>
      <w:r>
        <w:rPr>
          <w:rFonts w:hint="eastAsia" w:ascii="宋体" w:hAnsi="宋体" w:cs="宋体"/>
          <w:kern w:val="0"/>
          <w:sz w:val="22"/>
          <w:szCs w:val="22"/>
          <w:highlight w:val="none"/>
        </w:rPr>
        <w:t>。</w:t>
      </w:r>
    </w:p>
    <w:p w14:paraId="45A9E00D">
      <w:pPr>
        <w:widowControl/>
        <w:snapToGrid w:val="0"/>
        <w:spacing w:line="360" w:lineRule="auto"/>
        <w:ind w:firstLine="440" w:firstLineChars="200"/>
        <w:jc w:val="left"/>
        <w:rPr>
          <w:rFonts w:ascii="宋体" w:hAnsi="宋体" w:cs="宋体"/>
          <w:kern w:val="0"/>
          <w:sz w:val="22"/>
          <w:szCs w:val="22"/>
          <w:highlight w:val="none"/>
        </w:rPr>
      </w:pPr>
      <w:r>
        <w:rPr>
          <w:rFonts w:hint="eastAsia" w:ascii="宋体" w:hAnsi="宋体" w:cs="宋体"/>
          <w:kern w:val="0"/>
          <w:sz w:val="22"/>
          <w:szCs w:val="22"/>
          <w:highlight w:val="none"/>
        </w:rPr>
        <w:t>4．保证遵守招标文件的规定，放弃提出对招标文件误解的权利。</w:t>
      </w:r>
    </w:p>
    <w:p w14:paraId="32992485">
      <w:pPr>
        <w:snapToGrid w:val="0"/>
        <w:spacing w:line="360" w:lineRule="auto"/>
        <w:ind w:firstLine="440" w:firstLineChars="200"/>
        <w:rPr>
          <w:rFonts w:ascii="宋体" w:hAnsi="宋体" w:cs="宋体"/>
          <w:sz w:val="22"/>
          <w:szCs w:val="22"/>
          <w:highlight w:val="none"/>
        </w:rPr>
      </w:pPr>
      <w:r>
        <w:rPr>
          <w:rFonts w:hint="eastAsia" w:ascii="宋体" w:hAnsi="宋体" w:cs="宋体"/>
          <w:sz w:val="22"/>
          <w:szCs w:val="22"/>
          <w:highlight w:val="none"/>
        </w:rPr>
        <w:t>以上内容若有违反，一经查实，本人和本公司愿意接受有关部门的相应处罚，并愿意承担由此带来的法律后果。</w:t>
      </w:r>
    </w:p>
    <w:p w14:paraId="6EF1C37A">
      <w:pPr>
        <w:spacing w:line="360" w:lineRule="auto"/>
        <w:rPr>
          <w:rFonts w:ascii="宋体" w:hAnsi="宋体"/>
          <w:sz w:val="22"/>
          <w:szCs w:val="22"/>
          <w:highlight w:val="none"/>
          <w:lang w:val="zh-CN"/>
        </w:rPr>
      </w:pPr>
    </w:p>
    <w:p w14:paraId="63E52B1F">
      <w:pPr>
        <w:spacing w:line="360" w:lineRule="auto"/>
        <w:rPr>
          <w:rFonts w:ascii="Times New Roman" w:hAnsi="Times New Roman"/>
          <w:sz w:val="22"/>
          <w:szCs w:val="22"/>
          <w:highlight w:val="none"/>
        </w:rPr>
      </w:pPr>
      <w:r>
        <w:rPr>
          <w:rFonts w:hint="eastAsia" w:ascii="宋体" w:hAnsi="宋体"/>
          <w:sz w:val="22"/>
          <w:szCs w:val="22"/>
          <w:highlight w:val="none"/>
          <w:lang w:val="zh-CN"/>
        </w:rPr>
        <w:t>法定代表人（</w:t>
      </w:r>
      <w:r>
        <w:rPr>
          <w:rFonts w:hint="eastAsia" w:ascii="宋体" w:hAnsi="宋体"/>
          <w:sz w:val="22"/>
          <w:szCs w:val="22"/>
          <w:highlight w:val="none"/>
        </w:rPr>
        <w:t>单位负责人</w:t>
      </w:r>
      <w:r>
        <w:rPr>
          <w:rFonts w:hint="eastAsia" w:ascii="宋体" w:hAnsi="宋体"/>
          <w:sz w:val="22"/>
          <w:szCs w:val="22"/>
          <w:highlight w:val="none"/>
          <w:lang w:val="zh-CN"/>
        </w:rPr>
        <w:t>）或其授权代表（签字</w:t>
      </w:r>
      <w:r>
        <w:rPr>
          <w:rFonts w:hint="eastAsia" w:ascii="宋体" w:hAnsi="宋体"/>
          <w:sz w:val="22"/>
          <w:szCs w:val="22"/>
          <w:highlight w:val="none"/>
        </w:rPr>
        <w:t>或盖章</w:t>
      </w:r>
      <w:r>
        <w:rPr>
          <w:rFonts w:hint="eastAsia" w:ascii="宋体" w:hAnsi="宋体"/>
          <w:sz w:val="22"/>
          <w:szCs w:val="22"/>
          <w:highlight w:val="none"/>
          <w:lang w:val="zh-CN"/>
        </w:rPr>
        <w:t>）</w:t>
      </w:r>
      <w:r>
        <w:rPr>
          <w:rFonts w:hint="eastAsia" w:ascii="Times New Roman" w:hAnsi="Times New Roman"/>
          <w:sz w:val="22"/>
          <w:szCs w:val="22"/>
          <w:highlight w:val="none"/>
        </w:rPr>
        <w:t xml:space="preserve">：                   </w:t>
      </w:r>
    </w:p>
    <w:p w14:paraId="5E4B9FD6">
      <w:pPr>
        <w:spacing w:line="360" w:lineRule="auto"/>
        <w:rPr>
          <w:rFonts w:ascii="Times New Roman" w:hAnsi="Times New Roman"/>
          <w:sz w:val="22"/>
          <w:szCs w:val="22"/>
          <w:highlight w:val="none"/>
        </w:rPr>
      </w:pPr>
      <w:r>
        <w:rPr>
          <w:rFonts w:hint="eastAsia" w:ascii="Times New Roman" w:hAnsi="Times New Roman"/>
          <w:sz w:val="22"/>
          <w:szCs w:val="22"/>
          <w:highlight w:val="none"/>
        </w:rPr>
        <w:t xml:space="preserve">投标人名称（盖章）：                        </w:t>
      </w:r>
    </w:p>
    <w:p w14:paraId="11F059E3">
      <w:pPr>
        <w:spacing w:line="360" w:lineRule="auto"/>
        <w:rPr>
          <w:rFonts w:ascii="Times New Roman" w:hAnsi="Times New Roman"/>
          <w:sz w:val="22"/>
          <w:szCs w:val="22"/>
          <w:highlight w:val="none"/>
        </w:rPr>
      </w:pPr>
      <w:r>
        <w:rPr>
          <w:rFonts w:hint="eastAsia" w:ascii="Times New Roman" w:hAnsi="Times New Roman"/>
          <w:sz w:val="22"/>
          <w:szCs w:val="22"/>
          <w:highlight w:val="none"/>
        </w:rPr>
        <w:t>日期：   年   月   日</w:t>
      </w:r>
    </w:p>
    <w:p w14:paraId="241651FA">
      <w:pPr>
        <w:spacing w:line="360" w:lineRule="auto"/>
        <w:rPr>
          <w:rFonts w:ascii="Times New Roman" w:hAnsi="Times New Roman"/>
          <w:color w:val="000000" w:themeColor="text1"/>
          <w:sz w:val="22"/>
          <w:szCs w:val="22"/>
          <w:highlight w:val="none"/>
          <w14:textFill>
            <w14:solidFill>
              <w14:schemeClr w14:val="tx1"/>
            </w14:solidFill>
          </w14:textFill>
        </w:rPr>
      </w:pPr>
    </w:p>
    <w:p w14:paraId="413CE860">
      <w:pPr>
        <w:widowControl/>
        <w:snapToGrid w:val="0"/>
        <w:spacing w:line="360" w:lineRule="exact"/>
        <w:ind w:firstLine="440" w:firstLineChars="200"/>
        <w:jc w:val="righ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kern w:val="0"/>
          <w:sz w:val="22"/>
          <w:highlight w:val="none"/>
          <w14:textFill>
            <w14:solidFill>
              <w14:schemeClr w14:val="tx1"/>
            </w14:solidFill>
          </w14:textFill>
        </w:rPr>
        <w:br w:type="page"/>
      </w:r>
    </w:p>
    <w:p w14:paraId="6B93BF35">
      <w:pPr>
        <w:numPr>
          <w:ilvl w:val="0"/>
          <w:numId w:val="0"/>
        </w:numPr>
        <w:ind w:left="420" w:leftChars="0" w:firstLine="0" w:firstLineChars="0"/>
        <w:jc w:val="center"/>
        <w:outlineLvl w:val="3"/>
        <w:rPr>
          <w:b/>
          <w:bCs/>
          <w:color w:val="000000" w:themeColor="text1"/>
          <w:sz w:val="28"/>
          <w:szCs w:val="36"/>
          <w:highlight w:val="none"/>
          <w14:textFill>
            <w14:solidFill>
              <w14:schemeClr w14:val="tx1"/>
            </w14:solidFill>
          </w14:textFill>
        </w:rPr>
      </w:pPr>
      <w:r>
        <w:rPr>
          <w:rFonts w:hint="eastAsia" w:ascii="Calibri" w:hAnsi="Calibri" w:eastAsia="宋体" w:cs="Times New Roman"/>
          <w:b/>
          <w:bCs/>
          <w:color w:val="000000" w:themeColor="text1"/>
          <w:kern w:val="2"/>
          <w:sz w:val="32"/>
          <w:szCs w:val="32"/>
          <w:highlight w:val="none"/>
          <w:lang w:val="en-US" w:eastAsia="zh-CN" w:bidi="ar-SA"/>
          <w14:textFill>
            <w14:solidFill>
              <w14:schemeClr w14:val="tx1"/>
            </w14:solidFill>
          </w14:textFill>
        </w:rPr>
        <w:t>四、</w:t>
      </w:r>
      <w:r>
        <w:rPr>
          <w:rFonts w:hint="eastAsia"/>
          <w:b/>
          <w:bCs/>
          <w:color w:val="000000" w:themeColor="text1"/>
          <w:sz w:val="32"/>
          <w:szCs w:val="32"/>
          <w:highlight w:val="none"/>
          <w14:textFill>
            <w14:solidFill>
              <w14:schemeClr w14:val="tx1"/>
            </w14:solidFill>
          </w14:textFill>
        </w:rPr>
        <w:t>诚信承诺函</w:t>
      </w:r>
    </w:p>
    <w:p w14:paraId="55DC3E1F">
      <w:pPr>
        <w:spacing w:line="360" w:lineRule="auto"/>
        <w:rPr>
          <w:rFonts w:ascii="宋体" w:hAnsi="宋体" w:cs="宋体"/>
          <w:color w:val="000000" w:themeColor="text1"/>
          <w:sz w:val="22"/>
          <w:szCs w:val="22"/>
          <w:highlight w:val="none"/>
          <w14:textFill>
            <w14:solidFill>
              <w14:schemeClr w14:val="tx1"/>
            </w14:solidFill>
          </w14:textFill>
        </w:rPr>
      </w:pPr>
    </w:p>
    <w:p w14:paraId="226A1BCE">
      <w:pPr>
        <w:spacing w:line="360" w:lineRule="auto"/>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致：深圳市东海国际招标有限公司</w:t>
      </w:r>
    </w:p>
    <w:p w14:paraId="350AF2C9">
      <w:pPr>
        <w:spacing w:line="360" w:lineRule="auto"/>
        <w:ind w:firstLine="440" w:firstLineChars="200"/>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我公司承诺，在政府采购招标投标活动中无下列行为：</w:t>
      </w:r>
    </w:p>
    <w:p w14:paraId="78A5145A">
      <w:pPr>
        <w:tabs>
          <w:tab w:val="left" w:pos="567"/>
        </w:tabs>
        <w:spacing w:line="360" w:lineRule="auto"/>
        <w:ind w:left="420"/>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（一）被纪检监察部门立案调查，违法违规事实成立的；</w:t>
      </w:r>
    </w:p>
    <w:p w14:paraId="1B707CE6">
      <w:pPr>
        <w:tabs>
          <w:tab w:val="left" w:pos="567"/>
        </w:tabs>
        <w:spacing w:line="360" w:lineRule="auto"/>
        <w:ind w:left="420"/>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（二）未按本条例规定签订、履行采购合同，造成严重后果的；</w:t>
      </w:r>
    </w:p>
    <w:p w14:paraId="684BD037">
      <w:pPr>
        <w:tabs>
          <w:tab w:val="left" w:pos="567"/>
        </w:tabs>
        <w:spacing w:line="360" w:lineRule="auto"/>
        <w:ind w:left="420"/>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（三）隐瞒真实情况，提供虚假资料的；</w:t>
      </w:r>
    </w:p>
    <w:p w14:paraId="346DCA84">
      <w:pPr>
        <w:tabs>
          <w:tab w:val="left" w:pos="567"/>
        </w:tabs>
        <w:spacing w:line="360" w:lineRule="auto"/>
        <w:ind w:left="420"/>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（四）以非法手段排斥其他供应商参与竞争的；</w:t>
      </w:r>
    </w:p>
    <w:p w14:paraId="02794052">
      <w:pPr>
        <w:tabs>
          <w:tab w:val="left" w:pos="567"/>
        </w:tabs>
        <w:spacing w:line="360" w:lineRule="auto"/>
        <w:ind w:left="420"/>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（五）与其他采购参加人串通投标的；</w:t>
      </w:r>
    </w:p>
    <w:p w14:paraId="2A05A8CC">
      <w:pPr>
        <w:tabs>
          <w:tab w:val="left" w:pos="567"/>
        </w:tabs>
        <w:spacing w:line="360" w:lineRule="auto"/>
        <w:ind w:left="420"/>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 xml:space="preserve">（六）在采购活动中应当回避而未回避的； </w:t>
      </w:r>
    </w:p>
    <w:p w14:paraId="7602781B">
      <w:pPr>
        <w:tabs>
          <w:tab w:val="left" w:pos="567"/>
        </w:tabs>
        <w:spacing w:line="360" w:lineRule="auto"/>
        <w:ind w:left="420"/>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 xml:space="preserve">（七）恶意投诉的； </w:t>
      </w:r>
    </w:p>
    <w:p w14:paraId="69C81C30">
      <w:pPr>
        <w:tabs>
          <w:tab w:val="left" w:pos="567"/>
        </w:tabs>
        <w:spacing w:line="360" w:lineRule="auto"/>
        <w:ind w:left="420"/>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 xml:space="preserve">（八）向采购项目相关人行贿或者提供其他不当利益的； </w:t>
      </w:r>
    </w:p>
    <w:p w14:paraId="0D6E2290">
      <w:pPr>
        <w:tabs>
          <w:tab w:val="left" w:pos="567"/>
        </w:tabs>
        <w:spacing w:line="360" w:lineRule="auto"/>
        <w:ind w:left="420"/>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（九）阻碍、抗拒主管部门监督检查的；</w:t>
      </w:r>
    </w:p>
    <w:p w14:paraId="1607EA49">
      <w:pPr>
        <w:tabs>
          <w:tab w:val="left" w:pos="567"/>
        </w:tabs>
        <w:spacing w:line="360" w:lineRule="auto"/>
        <w:ind w:left="420"/>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（十）履约检查不合格或者评价为差的；</w:t>
      </w:r>
    </w:p>
    <w:p w14:paraId="38DB2568">
      <w:pPr>
        <w:tabs>
          <w:tab w:val="left" w:pos="567"/>
        </w:tabs>
        <w:spacing w:line="360" w:lineRule="auto"/>
        <w:ind w:left="420"/>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 xml:space="preserve">（十一）参与本项目投标前三年内，在经营活动中没有重大违法记录； </w:t>
      </w:r>
    </w:p>
    <w:p w14:paraId="4F82BA71">
      <w:pPr>
        <w:tabs>
          <w:tab w:val="left" w:pos="567"/>
        </w:tabs>
        <w:spacing w:line="360" w:lineRule="auto"/>
        <w:ind w:left="420"/>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（十二）参与本项目政府采购活动时不存在处于被有关部门禁止参与政府采购活动且在有效期内的情况；</w:t>
      </w:r>
    </w:p>
    <w:p w14:paraId="4819EC00">
      <w:pPr>
        <w:spacing w:line="360" w:lineRule="auto"/>
        <w:ind w:firstLine="440" w:firstLineChars="200"/>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（十三）主管部门认定的其他情形。</w:t>
      </w:r>
    </w:p>
    <w:p w14:paraId="03B8E9B7">
      <w:pPr>
        <w:spacing w:line="360" w:lineRule="auto"/>
        <w:ind w:firstLine="440" w:firstLineChars="200"/>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如我司在开标日前三年内存在上述行为超出法定追诉时效未被追诉、或者上述情节轻微未给予禁止参加政府采购的行政处罚，我司自愿承担虚假应标以及其他一切不利的法律后果。</w:t>
      </w:r>
    </w:p>
    <w:p w14:paraId="24CAADED">
      <w:pPr>
        <w:spacing w:line="360" w:lineRule="auto"/>
        <w:ind w:firstLine="440" w:firstLineChars="200"/>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特此承诺。</w:t>
      </w:r>
    </w:p>
    <w:p w14:paraId="784353D0">
      <w:pPr>
        <w:spacing w:line="360" w:lineRule="auto"/>
        <w:ind w:firstLine="440" w:firstLineChars="200"/>
        <w:rPr>
          <w:rFonts w:ascii="宋体" w:hAnsi="宋体" w:cs="宋体"/>
          <w:color w:val="000000" w:themeColor="text1"/>
          <w:sz w:val="22"/>
          <w:szCs w:val="22"/>
          <w:highlight w:val="none"/>
          <w14:textFill>
            <w14:solidFill>
              <w14:schemeClr w14:val="tx1"/>
            </w14:solidFill>
          </w14:textFill>
        </w:rPr>
      </w:pPr>
    </w:p>
    <w:p w14:paraId="56E810AD">
      <w:pPr>
        <w:spacing w:line="360" w:lineRule="auto"/>
        <w:rPr>
          <w:rFonts w:ascii="Times New Roman" w:hAnsi="Times New Roman"/>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lang w:val="zh-CN"/>
          <w14:textFill>
            <w14:solidFill>
              <w14:schemeClr w14:val="tx1"/>
            </w14:solidFill>
          </w14:textFill>
        </w:rPr>
        <w:t>法定代表人（</w:t>
      </w:r>
      <w:r>
        <w:rPr>
          <w:rFonts w:hint="eastAsia" w:ascii="宋体" w:hAnsi="宋体"/>
          <w:color w:val="000000" w:themeColor="text1"/>
          <w:sz w:val="22"/>
          <w:szCs w:val="22"/>
          <w:highlight w:val="none"/>
          <w14:textFill>
            <w14:solidFill>
              <w14:schemeClr w14:val="tx1"/>
            </w14:solidFill>
          </w14:textFill>
        </w:rPr>
        <w:t>单位负责人</w:t>
      </w:r>
      <w:r>
        <w:rPr>
          <w:rFonts w:hint="eastAsia" w:ascii="宋体" w:hAnsi="宋体"/>
          <w:color w:val="000000" w:themeColor="text1"/>
          <w:sz w:val="22"/>
          <w:szCs w:val="22"/>
          <w:highlight w:val="none"/>
          <w:lang w:val="zh-CN"/>
          <w14:textFill>
            <w14:solidFill>
              <w14:schemeClr w14:val="tx1"/>
            </w14:solidFill>
          </w14:textFill>
        </w:rPr>
        <w:t>）或其授权代表（签字</w:t>
      </w:r>
      <w:r>
        <w:rPr>
          <w:rFonts w:hint="eastAsia" w:ascii="宋体" w:hAnsi="宋体"/>
          <w:color w:val="000000" w:themeColor="text1"/>
          <w:sz w:val="22"/>
          <w:szCs w:val="22"/>
          <w:highlight w:val="none"/>
          <w14:textFill>
            <w14:solidFill>
              <w14:schemeClr w14:val="tx1"/>
            </w14:solidFill>
          </w14:textFill>
        </w:rPr>
        <w:t>或盖章</w:t>
      </w:r>
      <w:r>
        <w:rPr>
          <w:rFonts w:hint="eastAsia" w:ascii="宋体" w:hAnsi="宋体"/>
          <w:color w:val="000000" w:themeColor="text1"/>
          <w:sz w:val="22"/>
          <w:szCs w:val="22"/>
          <w:highlight w:val="none"/>
          <w:lang w:val="zh-CN"/>
          <w14:textFill>
            <w14:solidFill>
              <w14:schemeClr w14:val="tx1"/>
            </w14:solidFill>
          </w14:textFill>
        </w:rPr>
        <w:t>）</w:t>
      </w:r>
      <w:r>
        <w:rPr>
          <w:rFonts w:hint="eastAsia" w:ascii="Times New Roman" w:hAnsi="Times New Roman"/>
          <w:color w:val="000000" w:themeColor="text1"/>
          <w:sz w:val="22"/>
          <w:szCs w:val="22"/>
          <w:highlight w:val="none"/>
          <w14:textFill>
            <w14:solidFill>
              <w14:schemeClr w14:val="tx1"/>
            </w14:solidFill>
          </w14:textFill>
        </w:rPr>
        <w:t xml:space="preserve">：                   </w:t>
      </w:r>
    </w:p>
    <w:p w14:paraId="04A679AD">
      <w:pPr>
        <w:spacing w:line="360" w:lineRule="auto"/>
        <w:rPr>
          <w:rFonts w:ascii="Times New Roman" w:hAnsi="Times New Roman"/>
          <w:color w:val="000000" w:themeColor="text1"/>
          <w:sz w:val="22"/>
          <w:szCs w:val="22"/>
          <w:highlight w:val="none"/>
          <w14:textFill>
            <w14:solidFill>
              <w14:schemeClr w14:val="tx1"/>
            </w14:solidFill>
          </w14:textFill>
        </w:rPr>
      </w:pPr>
      <w:r>
        <w:rPr>
          <w:rFonts w:hint="eastAsia" w:ascii="Times New Roman" w:hAnsi="Times New Roman"/>
          <w:color w:val="000000" w:themeColor="text1"/>
          <w:sz w:val="22"/>
          <w:szCs w:val="22"/>
          <w:highlight w:val="none"/>
          <w14:textFill>
            <w14:solidFill>
              <w14:schemeClr w14:val="tx1"/>
            </w14:solidFill>
          </w14:textFill>
        </w:rPr>
        <w:t xml:space="preserve">投标人名称（盖章）：                        </w:t>
      </w:r>
    </w:p>
    <w:p w14:paraId="2F0DF93E">
      <w:pPr>
        <w:spacing w:line="360" w:lineRule="auto"/>
        <w:rPr>
          <w:rFonts w:ascii="Times New Roman" w:hAnsi="Times New Roman"/>
          <w:color w:val="000000" w:themeColor="text1"/>
          <w:sz w:val="22"/>
          <w:szCs w:val="22"/>
          <w:highlight w:val="none"/>
          <w14:textFill>
            <w14:solidFill>
              <w14:schemeClr w14:val="tx1"/>
            </w14:solidFill>
          </w14:textFill>
        </w:rPr>
      </w:pPr>
      <w:r>
        <w:rPr>
          <w:rFonts w:hint="eastAsia" w:ascii="Times New Roman" w:hAnsi="Times New Roman"/>
          <w:color w:val="000000" w:themeColor="text1"/>
          <w:sz w:val="22"/>
          <w:szCs w:val="22"/>
          <w:highlight w:val="none"/>
          <w14:textFill>
            <w14:solidFill>
              <w14:schemeClr w14:val="tx1"/>
            </w14:solidFill>
          </w14:textFill>
        </w:rPr>
        <w:t>日期：   年   月   日</w:t>
      </w:r>
    </w:p>
    <w:p w14:paraId="2A18002C">
      <w:pPr>
        <w:pStyle w:val="10"/>
        <w:spacing w:line="360" w:lineRule="exact"/>
        <w:ind w:firstLine="440" w:firstLineChars="200"/>
        <w:rPr>
          <w:rFonts w:ascii="宋体" w:hAnsi="宋体" w:cs="宋体"/>
          <w:b w:val="0"/>
          <w:color w:val="000000" w:themeColor="text1"/>
          <w:sz w:val="22"/>
          <w:szCs w:val="22"/>
          <w:highlight w:val="none"/>
          <w14:textFill>
            <w14:solidFill>
              <w14:schemeClr w14:val="tx1"/>
            </w14:solidFill>
          </w14:textFill>
        </w:rPr>
      </w:pPr>
      <w:r>
        <w:rPr>
          <w:rFonts w:hint="eastAsia" w:ascii="宋体" w:hAnsi="宋体" w:cs="宋体"/>
          <w:b w:val="0"/>
          <w:color w:val="000000" w:themeColor="text1"/>
          <w:sz w:val="22"/>
          <w:szCs w:val="22"/>
          <w:highlight w:val="none"/>
          <w14:textFill>
            <w14:solidFill>
              <w14:schemeClr w14:val="tx1"/>
            </w14:solidFill>
          </w14:textFill>
        </w:rPr>
        <w:br w:type="page"/>
      </w:r>
    </w:p>
    <w:p w14:paraId="0D994AE1">
      <w:pPr>
        <w:tabs>
          <w:tab w:val="left" w:pos="0"/>
        </w:tabs>
        <w:jc w:val="center"/>
        <w:outlineLvl w:val="3"/>
        <w:rPr>
          <w:sz w:val="24"/>
          <w:highlight w:val="none"/>
        </w:rPr>
      </w:pPr>
      <w:r>
        <w:rPr>
          <w:rFonts w:hint="eastAsia"/>
          <w:b/>
          <w:bCs/>
          <w:sz w:val="32"/>
          <w:szCs w:val="32"/>
          <w:highlight w:val="none"/>
        </w:rPr>
        <w:t>五、政府采购违法行为风险知悉确认书</w:t>
      </w:r>
    </w:p>
    <w:p w14:paraId="45A838EE">
      <w:pPr>
        <w:pStyle w:val="37"/>
        <w:ind w:firstLine="420"/>
        <w:rPr>
          <w:highlight w:val="none"/>
        </w:rPr>
      </w:pPr>
    </w:p>
    <w:p w14:paraId="56E3F8B9">
      <w:pPr>
        <w:ind w:firstLine="440" w:firstLineChars="200"/>
        <w:rPr>
          <w:rFonts w:ascii="宋体" w:hAnsi="宋体" w:cs="宋体"/>
          <w:sz w:val="22"/>
          <w:szCs w:val="22"/>
          <w:highlight w:val="none"/>
        </w:rPr>
      </w:pPr>
      <w:r>
        <w:rPr>
          <w:rFonts w:hint="eastAsia" w:ascii="宋体" w:hAnsi="宋体" w:cs="宋体"/>
          <w:sz w:val="22"/>
          <w:szCs w:val="22"/>
          <w:highlight w:val="none"/>
        </w:rPr>
        <w:t>本公司在投标前已充分知悉以下情形为参与政府采购活动时的重大风险事项，并承诺已对下述风险提示事项重点排查，做到严谨、诚信、依法依规参与政府采购活动。</w:t>
      </w:r>
      <w:r>
        <w:rPr>
          <w:rFonts w:hint="eastAsia" w:ascii="宋体" w:hAnsi="宋体" w:cs="宋体"/>
          <w:color w:val="000000"/>
          <w:sz w:val="22"/>
          <w:szCs w:val="22"/>
          <w:highlight w:val="none"/>
        </w:rPr>
        <w:t xml:space="preserve"> </w:t>
      </w:r>
    </w:p>
    <w:p w14:paraId="3F2CF401">
      <w:pPr>
        <w:rPr>
          <w:rFonts w:ascii="宋体" w:hAnsi="宋体" w:cs="宋体"/>
          <w:sz w:val="22"/>
          <w:szCs w:val="22"/>
          <w:highlight w:val="none"/>
        </w:rPr>
      </w:pPr>
      <w:r>
        <w:rPr>
          <w:rFonts w:hint="eastAsia" w:ascii="宋体" w:hAnsi="宋体" w:cs="宋体"/>
          <w:b/>
          <w:bCs/>
          <w:color w:val="000000"/>
          <w:sz w:val="22"/>
          <w:szCs w:val="22"/>
          <w:highlight w:val="none"/>
        </w:rPr>
        <w:t>一、本公司已充分知悉“隐瞒真实情况，提供虚假资料”的法定情形，相关情形包括但不限于</w:t>
      </w:r>
      <w:r>
        <w:rPr>
          <w:rFonts w:hint="eastAsia" w:ascii="宋体" w:hAnsi="宋体" w:cs="宋体"/>
          <w:color w:val="000000"/>
          <w:sz w:val="22"/>
          <w:szCs w:val="22"/>
          <w:highlight w:val="none"/>
        </w:rPr>
        <w:t xml:space="preserve">： </w:t>
      </w:r>
    </w:p>
    <w:p w14:paraId="10F49C5D">
      <w:pPr>
        <w:ind w:firstLine="440" w:firstLineChars="200"/>
        <w:rPr>
          <w:rFonts w:ascii="宋体" w:hAnsi="宋体" w:cs="宋体"/>
          <w:sz w:val="22"/>
          <w:szCs w:val="22"/>
          <w:highlight w:val="none"/>
        </w:rPr>
      </w:pPr>
      <w:r>
        <w:rPr>
          <w:rFonts w:hint="eastAsia" w:ascii="宋体" w:hAnsi="宋体" w:cs="宋体"/>
          <w:sz w:val="22"/>
          <w:szCs w:val="22"/>
          <w:highlight w:val="none"/>
        </w:rPr>
        <w:t xml:space="preserve">（一）通过转让或者租借等方式从其他单位获取资格或者资质证书投标的。 </w:t>
      </w:r>
    </w:p>
    <w:p w14:paraId="69BE5AB1">
      <w:pPr>
        <w:ind w:firstLine="440" w:firstLineChars="200"/>
        <w:rPr>
          <w:rFonts w:ascii="宋体" w:hAnsi="宋体" w:cs="宋体"/>
          <w:sz w:val="22"/>
          <w:szCs w:val="22"/>
          <w:highlight w:val="none"/>
        </w:rPr>
      </w:pPr>
      <w:r>
        <w:rPr>
          <w:rFonts w:hint="eastAsia" w:ascii="宋体" w:hAnsi="宋体" w:cs="宋体"/>
          <w:sz w:val="22"/>
          <w:szCs w:val="22"/>
          <w:highlight w:val="none"/>
        </w:rPr>
        <w:t xml:space="preserve">（二）由其他单位或者其他单位负责人在投标供应商编制的投标文件上加盖印章或者签字的。 </w:t>
      </w:r>
    </w:p>
    <w:p w14:paraId="2D7DC87F">
      <w:pPr>
        <w:ind w:firstLine="440" w:firstLineChars="200"/>
        <w:rPr>
          <w:rFonts w:ascii="宋体" w:hAnsi="宋体" w:cs="宋体"/>
          <w:sz w:val="22"/>
          <w:szCs w:val="22"/>
          <w:highlight w:val="none"/>
        </w:rPr>
      </w:pPr>
      <w:r>
        <w:rPr>
          <w:rFonts w:hint="eastAsia" w:ascii="宋体" w:hAnsi="宋体" w:cs="宋体"/>
          <w:sz w:val="22"/>
          <w:szCs w:val="22"/>
          <w:highlight w:val="none"/>
        </w:rPr>
        <w:t xml:space="preserve">（三）项目负责人或者主要技术人员不是本单位人员的。 </w:t>
      </w:r>
    </w:p>
    <w:p w14:paraId="6969F25F">
      <w:pPr>
        <w:ind w:firstLine="440" w:firstLineChars="200"/>
        <w:rPr>
          <w:rFonts w:ascii="宋体" w:hAnsi="宋体" w:cs="宋体"/>
          <w:sz w:val="22"/>
          <w:szCs w:val="22"/>
          <w:highlight w:val="none"/>
        </w:rPr>
      </w:pPr>
      <w:r>
        <w:rPr>
          <w:rFonts w:hint="eastAsia" w:ascii="宋体" w:hAnsi="宋体" w:cs="宋体"/>
          <w:sz w:val="22"/>
          <w:szCs w:val="22"/>
          <w:highlight w:val="none"/>
        </w:rPr>
        <w:t>（四）投标</w:t>
      </w:r>
      <w:r>
        <w:rPr>
          <w:rFonts w:hint="default" w:ascii="宋体" w:hAnsi="宋体" w:cs="宋体"/>
          <w:sz w:val="22"/>
          <w:szCs w:val="22"/>
          <w:highlight w:val="none"/>
        </w:rPr>
        <w:t>保函</w:t>
      </w:r>
      <w:r>
        <w:rPr>
          <w:rFonts w:hint="eastAsia" w:ascii="宋体" w:hAnsi="宋体" w:cs="宋体"/>
          <w:sz w:val="22"/>
          <w:szCs w:val="22"/>
          <w:highlight w:val="none"/>
        </w:rPr>
        <w:t xml:space="preserve">不是从投标供应商基本账户转出的。 </w:t>
      </w:r>
    </w:p>
    <w:p w14:paraId="1922158E">
      <w:pPr>
        <w:ind w:firstLine="440" w:firstLineChars="200"/>
        <w:rPr>
          <w:rFonts w:ascii="宋体" w:hAnsi="宋体" w:cs="宋体"/>
          <w:sz w:val="22"/>
          <w:szCs w:val="22"/>
          <w:highlight w:val="none"/>
        </w:rPr>
      </w:pPr>
      <w:r>
        <w:rPr>
          <w:rFonts w:hint="eastAsia" w:ascii="宋体" w:hAnsi="宋体" w:cs="宋体"/>
          <w:sz w:val="22"/>
          <w:szCs w:val="22"/>
          <w:highlight w:val="none"/>
        </w:rPr>
        <w:t xml:space="preserve">（五）其他隐瞒真实情况、提供虚假资料的行为。 </w:t>
      </w:r>
    </w:p>
    <w:p w14:paraId="7587C1DD">
      <w:pPr>
        <w:rPr>
          <w:rFonts w:ascii="宋体" w:hAnsi="宋体" w:cs="宋体"/>
          <w:sz w:val="22"/>
          <w:szCs w:val="22"/>
          <w:highlight w:val="none"/>
        </w:rPr>
      </w:pPr>
      <w:r>
        <w:rPr>
          <w:rFonts w:hint="eastAsia" w:ascii="宋体" w:hAnsi="宋体" w:cs="宋体"/>
          <w:b/>
          <w:bCs/>
          <w:color w:val="000000"/>
          <w:sz w:val="22"/>
          <w:szCs w:val="22"/>
          <w:highlight w:val="none"/>
        </w:rPr>
        <w:t xml:space="preserve">二、本公司已充分知悉“与其他采购参加人串通投标”的法定情形，相关情形包括但不限于： </w:t>
      </w:r>
    </w:p>
    <w:p w14:paraId="712994A4">
      <w:pPr>
        <w:ind w:firstLine="440" w:firstLineChars="200"/>
        <w:rPr>
          <w:rFonts w:ascii="宋体" w:hAnsi="宋体" w:cs="宋体"/>
          <w:sz w:val="22"/>
          <w:szCs w:val="22"/>
          <w:highlight w:val="none"/>
        </w:rPr>
      </w:pPr>
      <w:r>
        <w:rPr>
          <w:rFonts w:hint="eastAsia" w:ascii="宋体" w:hAnsi="宋体" w:cs="宋体"/>
          <w:color w:val="000000"/>
          <w:sz w:val="22"/>
          <w:szCs w:val="22"/>
          <w:highlight w:val="none"/>
        </w:rPr>
        <w:t>（一）投标供应商之间相互约定给予未中标的供应商利益补偿。</w:t>
      </w:r>
    </w:p>
    <w:p w14:paraId="1C469066">
      <w:pPr>
        <w:ind w:firstLine="440" w:firstLineChars="200"/>
        <w:rPr>
          <w:rFonts w:ascii="宋体" w:hAnsi="宋体" w:cs="宋体"/>
          <w:sz w:val="22"/>
          <w:szCs w:val="22"/>
          <w:highlight w:val="none"/>
        </w:rPr>
      </w:pPr>
      <w:r>
        <w:rPr>
          <w:rFonts w:hint="eastAsia" w:ascii="宋体" w:hAnsi="宋体" w:cs="宋体"/>
          <w:color w:val="000000"/>
          <w:sz w:val="22"/>
          <w:szCs w:val="22"/>
          <w:highlight w:val="none"/>
        </w:rPr>
        <w:t xml:space="preserve">（二）不同投标供应商的法定代表人、主要经营负责人、项目投标授权代表人、项目负责人、主要技术人员为同一人、属同一单位或者在同一单位缴纳社会保险。 </w:t>
      </w:r>
    </w:p>
    <w:p w14:paraId="3229B8D3">
      <w:pPr>
        <w:ind w:firstLine="440" w:firstLineChars="200"/>
        <w:rPr>
          <w:rFonts w:ascii="宋体" w:hAnsi="宋体" w:cs="宋体"/>
          <w:sz w:val="22"/>
          <w:szCs w:val="22"/>
          <w:highlight w:val="none"/>
        </w:rPr>
      </w:pPr>
      <w:r>
        <w:rPr>
          <w:rFonts w:hint="eastAsia" w:ascii="宋体" w:hAnsi="宋体" w:cs="宋体"/>
          <w:color w:val="000000"/>
          <w:sz w:val="22"/>
          <w:szCs w:val="22"/>
          <w:highlight w:val="none"/>
        </w:rPr>
        <w:t xml:space="preserve">（三）不同投标供应商的投标文件由同一单位或者同一人编制，或者由同一人分阶段参与编制的。 </w:t>
      </w:r>
    </w:p>
    <w:p w14:paraId="26F7099B">
      <w:pPr>
        <w:ind w:firstLine="440" w:firstLineChars="200"/>
        <w:rPr>
          <w:rFonts w:ascii="宋体" w:hAnsi="宋体" w:cs="宋体"/>
          <w:sz w:val="22"/>
          <w:szCs w:val="22"/>
          <w:highlight w:val="none"/>
        </w:rPr>
      </w:pPr>
      <w:r>
        <w:rPr>
          <w:rFonts w:hint="eastAsia" w:ascii="宋体" w:hAnsi="宋体" w:cs="宋体"/>
          <w:color w:val="000000"/>
          <w:sz w:val="22"/>
          <w:szCs w:val="22"/>
          <w:highlight w:val="none"/>
        </w:rPr>
        <w:t>（四）不同投标供应商的投标文件或部分投标文件相互混装。</w:t>
      </w:r>
    </w:p>
    <w:p w14:paraId="7A569EF4">
      <w:pPr>
        <w:ind w:firstLine="440" w:firstLineChars="200"/>
        <w:rPr>
          <w:rFonts w:ascii="宋体" w:hAnsi="宋体" w:cs="宋体"/>
          <w:sz w:val="22"/>
          <w:szCs w:val="22"/>
          <w:highlight w:val="none"/>
        </w:rPr>
      </w:pPr>
      <w:r>
        <w:rPr>
          <w:rFonts w:hint="eastAsia" w:ascii="宋体" w:hAnsi="宋体" w:cs="宋体"/>
          <w:color w:val="000000"/>
          <w:sz w:val="22"/>
          <w:szCs w:val="22"/>
          <w:highlight w:val="none"/>
        </w:rPr>
        <w:t xml:space="preserve">（五）不同投标供应商的投标文件内容存在非正常一致。 </w:t>
      </w:r>
    </w:p>
    <w:p w14:paraId="000DD0E0">
      <w:pPr>
        <w:ind w:firstLine="440" w:firstLineChars="200"/>
        <w:rPr>
          <w:rFonts w:ascii="宋体" w:hAnsi="宋体" w:cs="宋体"/>
          <w:sz w:val="22"/>
          <w:szCs w:val="22"/>
          <w:highlight w:val="none"/>
        </w:rPr>
      </w:pPr>
      <w:r>
        <w:rPr>
          <w:rFonts w:hint="eastAsia" w:ascii="宋体" w:hAnsi="宋体" w:cs="宋体"/>
          <w:color w:val="000000"/>
          <w:sz w:val="22"/>
          <w:szCs w:val="22"/>
          <w:highlight w:val="none"/>
        </w:rPr>
        <w:t xml:space="preserve">（六）由同一单位工作人员为两家以上（含两家）供应商进行同一项投标活动的。 </w:t>
      </w:r>
    </w:p>
    <w:p w14:paraId="06F290E7">
      <w:pPr>
        <w:ind w:firstLine="440" w:firstLineChars="200"/>
        <w:rPr>
          <w:rFonts w:ascii="宋体" w:hAnsi="宋体" w:cs="宋体"/>
          <w:sz w:val="22"/>
          <w:szCs w:val="22"/>
          <w:highlight w:val="none"/>
        </w:rPr>
      </w:pPr>
      <w:r>
        <w:rPr>
          <w:rFonts w:hint="eastAsia" w:ascii="宋体" w:hAnsi="宋体" w:cs="宋体"/>
          <w:color w:val="000000"/>
          <w:sz w:val="22"/>
          <w:szCs w:val="22"/>
          <w:highlight w:val="none"/>
        </w:rPr>
        <w:t xml:space="preserve">（七）不同投标人的投标报价呈规律性差异。 </w:t>
      </w:r>
    </w:p>
    <w:p w14:paraId="2D30CB3E">
      <w:pPr>
        <w:ind w:firstLine="440" w:firstLineChars="200"/>
        <w:rPr>
          <w:rFonts w:ascii="宋体" w:hAnsi="宋体" w:cs="宋体"/>
          <w:sz w:val="22"/>
          <w:szCs w:val="22"/>
          <w:highlight w:val="none"/>
        </w:rPr>
      </w:pPr>
      <w:r>
        <w:rPr>
          <w:rFonts w:hint="eastAsia" w:ascii="宋体" w:hAnsi="宋体" w:cs="宋体"/>
          <w:color w:val="000000"/>
          <w:sz w:val="22"/>
          <w:szCs w:val="22"/>
          <w:highlight w:val="none"/>
        </w:rPr>
        <w:t>（八）不同投标人的投标</w:t>
      </w:r>
      <w:r>
        <w:rPr>
          <w:rFonts w:hint="default" w:ascii="宋体" w:hAnsi="宋体" w:cs="宋体"/>
          <w:color w:val="000000"/>
          <w:sz w:val="22"/>
          <w:szCs w:val="22"/>
          <w:highlight w:val="none"/>
        </w:rPr>
        <w:t>保函</w:t>
      </w:r>
      <w:r>
        <w:rPr>
          <w:rFonts w:hint="eastAsia" w:ascii="宋体" w:hAnsi="宋体" w:cs="宋体"/>
          <w:color w:val="000000"/>
          <w:sz w:val="22"/>
          <w:szCs w:val="22"/>
          <w:highlight w:val="none"/>
        </w:rPr>
        <w:t>从同一单位或者个人的账户转出。</w:t>
      </w:r>
    </w:p>
    <w:p w14:paraId="182180EA">
      <w:pPr>
        <w:ind w:firstLine="440" w:firstLineChars="200"/>
        <w:rPr>
          <w:rFonts w:ascii="宋体" w:hAnsi="宋体" w:cs="宋体"/>
          <w:sz w:val="22"/>
          <w:szCs w:val="22"/>
          <w:highlight w:val="none"/>
        </w:rPr>
      </w:pPr>
      <w:r>
        <w:rPr>
          <w:rFonts w:hint="eastAsia" w:ascii="宋体" w:hAnsi="宋体" w:cs="宋体"/>
          <w:color w:val="000000"/>
          <w:sz w:val="22"/>
          <w:szCs w:val="22"/>
          <w:highlight w:val="none"/>
        </w:rPr>
        <w:t xml:space="preserve">（九）主管部门依照法律、法规认定的其他情形。 </w:t>
      </w:r>
    </w:p>
    <w:p w14:paraId="6BF71806">
      <w:pPr>
        <w:rPr>
          <w:rFonts w:ascii="宋体" w:hAnsi="宋体" w:cs="宋体"/>
          <w:sz w:val="22"/>
          <w:szCs w:val="22"/>
          <w:highlight w:val="none"/>
        </w:rPr>
      </w:pPr>
      <w:r>
        <w:rPr>
          <w:rFonts w:hint="eastAsia" w:ascii="宋体" w:hAnsi="宋体" w:cs="宋体"/>
          <w:b/>
          <w:bCs/>
          <w:color w:val="000000"/>
          <w:sz w:val="22"/>
          <w:szCs w:val="22"/>
          <w:highlight w:val="none"/>
        </w:rPr>
        <w:t xml:space="preserve">三、本公司已充分知悉下列情形所对应的法律风险，并在投标前已对相关风险事项进行排查。 </w:t>
      </w:r>
    </w:p>
    <w:p w14:paraId="17A0A8E8">
      <w:pPr>
        <w:ind w:firstLine="440" w:firstLineChars="200"/>
        <w:rPr>
          <w:rFonts w:ascii="宋体" w:hAnsi="宋体" w:cs="宋体"/>
          <w:sz w:val="22"/>
          <w:szCs w:val="22"/>
          <w:highlight w:val="none"/>
        </w:rPr>
      </w:pPr>
      <w:r>
        <w:rPr>
          <w:rFonts w:hint="eastAsia" w:ascii="宋体" w:hAnsi="宋体" w:cs="宋体"/>
          <w:color w:val="000000"/>
          <w:sz w:val="22"/>
          <w:szCs w:val="22"/>
          <w:highlight w:val="none"/>
        </w:rPr>
        <w:t>（一）对于从其他主体获取的投标资料，供应商应审慎核查，确保投标资料的真实性。</w:t>
      </w:r>
      <w:r>
        <w:rPr>
          <w:rFonts w:hint="eastAsia" w:ascii="宋体" w:hAnsi="宋体" w:cs="宋体"/>
          <w:b/>
          <w:bCs/>
          <w:color w:val="000000"/>
          <w:sz w:val="22"/>
          <w:szCs w:val="22"/>
          <w:highlight w:val="none"/>
        </w:rPr>
        <w:t xml:space="preserve">如主管部门查实投标文件中存在虚假资料的，无论相关资料是否由第三方或本公司员工提供，均不影响主管部门对供应商存在“隐瞒真实情况，提供虚假资料”违法行为的认定。 </w:t>
      </w:r>
    </w:p>
    <w:p w14:paraId="4846981A">
      <w:pPr>
        <w:ind w:firstLine="440" w:firstLineChars="200"/>
        <w:rPr>
          <w:rFonts w:ascii="宋体" w:hAnsi="宋体" w:cs="宋体"/>
          <w:sz w:val="22"/>
          <w:szCs w:val="22"/>
          <w:highlight w:val="none"/>
        </w:rPr>
      </w:pPr>
      <w:r>
        <w:rPr>
          <w:rFonts w:hint="eastAsia" w:ascii="宋体" w:hAnsi="宋体" w:cs="宋体"/>
          <w:color w:val="000000"/>
          <w:sz w:val="22"/>
          <w:szCs w:val="22"/>
          <w:highlight w:val="none"/>
        </w:rPr>
        <w:t xml:space="preserve">（二）对于涉及国家机关出具的公文、证件、证明材料等文件，一旦涉嫌虚假，经查实，主管部门将依法从严处理，并移送有关部门追究法律责任；涉嫌犯罪的，主管部门将一并移送司法机关追究法律责任。 </w:t>
      </w:r>
    </w:p>
    <w:p w14:paraId="63F6888F">
      <w:pPr>
        <w:ind w:firstLine="440" w:firstLineChars="200"/>
        <w:rPr>
          <w:rFonts w:ascii="宋体" w:hAnsi="宋体" w:cs="宋体"/>
          <w:sz w:val="22"/>
          <w:szCs w:val="22"/>
          <w:highlight w:val="none"/>
        </w:rPr>
      </w:pPr>
      <w:r>
        <w:rPr>
          <w:rFonts w:hint="eastAsia" w:ascii="宋体" w:hAnsi="宋体" w:cs="宋体"/>
          <w:color w:val="000000"/>
          <w:sz w:val="22"/>
          <w:szCs w:val="22"/>
          <w:highlight w:val="none"/>
        </w:rPr>
        <w:t xml:space="preserve">（三）对于涉及安全生产、特种作业、抢险救灾、防疫等政府采购项目，供应商实施提供虚假资料、串通投标等违法行为的，主管部门将依法从严处理。 </w:t>
      </w:r>
    </w:p>
    <w:p w14:paraId="6F1B9ADA">
      <w:pPr>
        <w:ind w:firstLine="440" w:firstLineChars="200"/>
        <w:rPr>
          <w:rFonts w:ascii="宋体" w:hAnsi="宋体" w:cs="宋体"/>
          <w:sz w:val="22"/>
          <w:szCs w:val="22"/>
          <w:highlight w:val="none"/>
        </w:rPr>
      </w:pPr>
      <w:r>
        <w:rPr>
          <w:rFonts w:hint="eastAsia" w:ascii="宋体" w:hAnsi="宋体" w:cs="宋体"/>
          <w:color w:val="000000"/>
          <w:sz w:val="22"/>
          <w:szCs w:val="22"/>
          <w:highlight w:val="none"/>
        </w:rPr>
        <w:t xml:space="preserve">（四）供应商应严格规范项目授权代表、员工参与招标投标的行为，加强对投标文件的审核。项目授权代表、员工编制、上传投标文件等行为违反政府采购法律法规或招标文件要求的，投标供应商应当依法承担相应法律责任。 </w:t>
      </w:r>
    </w:p>
    <w:p w14:paraId="079B210A">
      <w:pPr>
        <w:ind w:firstLine="440" w:firstLineChars="200"/>
        <w:rPr>
          <w:rFonts w:ascii="宋体" w:hAnsi="宋体" w:cs="宋体"/>
          <w:sz w:val="22"/>
          <w:szCs w:val="22"/>
          <w:highlight w:val="none"/>
        </w:rPr>
      </w:pPr>
      <w:r>
        <w:rPr>
          <w:rFonts w:hint="eastAsia" w:ascii="宋体" w:hAnsi="宋体" w:cs="宋体"/>
          <w:color w:val="000000"/>
          <w:sz w:val="22"/>
          <w:szCs w:val="22"/>
          <w:highlight w:val="none"/>
        </w:rPr>
        <w:t xml:space="preserve">（五）供应商对投标电子密钥负有妥善保管、及时变更和续期等主体责任。供应商使用电子密钥在深圳政府采购网站进行的活动，均具有法律效力，须承担相应的法律后果。供应商擅自将投标密钥出借他人使用所造成的法律后果，由供应商自行承担。 </w:t>
      </w:r>
    </w:p>
    <w:p w14:paraId="1D3AB74B">
      <w:pPr>
        <w:ind w:firstLine="440" w:firstLineChars="200"/>
        <w:rPr>
          <w:rFonts w:ascii="宋体" w:hAnsi="宋体" w:cs="宋体"/>
          <w:sz w:val="22"/>
          <w:szCs w:val="22"/>
          <w:highlight w:val="none"/>
        </w:rPr>
      </w:pPr>
      <w:r>
        <w:rPr>
          <w:rFonts w:hint="eastAsia" w:ascii="宋体" w:hAnsi="宋体" w:cs="宋体"/>
          <w:color w:val="000000"/>
          <w:sz w:val="22"/>
          <w:szCs w:val="22"/>
          <w:highlight w:val="none"/>
        </w:rPr>
        <w:t xml:space="preserve">（六）单位负责人为同一人或者存在直接控股、管理关系的不同供应商，不得参加同一合同项下的政府采购活动。相关情形如查实，依法作投标无效处理；涉嫌串通投标等违法行为的，主管部门将依法调查处理。 </w:t>
      </w:r>
    </w:p>
    <w:p w14:paraId="6967042F">
      <w:pPr>
        <w:rPr>
          <w:rFonts w:ascii="宋体" w:hAnsi="宋体" w:cs="宋体"/>
          <w:sz w:val="22"/>
          <w:szCs w:val="22"/>
          <w:highlight w:val="none"/>
        </w:rPr>
      </w:pPr>
      <w:r>
        <w:rPr>
          <w:rFonts w:hint="eastAsia" w:ascii="宋体" w:hAnsi="宋体" w:cs="宋体"/>
          <w:b/>
          <w:bCs/>
          <w:color w:val="000000"/>
          <w:sz w:val="22"/>
          <w:szCs w:val="22"/>
          <w:highlight w:val="none"/>
        </w:rPr>
        <w:t xml:space="preserve">四、本公司已充分知悉政府采购违法、违规行为的法律后果。 </w:t>
      </w:r>
    </w:p>
    <w:p w14:paraId="5BB6D3B5">
      <w:pPr>
        <w:ind w:firstLine="440" w:firstLineChars="200"/>
        <w:rPr>
          <w:rFonts w:ascii="宋体" w:hAnsi="宋体" w:cs="宋体"/>
          <w:sz w:val="22"/>
          <w:szCs w:val="22"/>
          <w:highlight w:val="none"/>
        </w:rPr>
      </w:pPr>
      <w:r>
        <w:rPr>
          <w:rFonts w:hint="eastAsia" w:ascii="宋体" w:hAnsi="宋体" w:cs="宋体"/>
          <w:color w:val="000000"/>
          <w:sz w:val="22"/>
          <w:szCs w:val="22"/>
          <w:highlight w:val="none"/>
        </w:rPr>
        <w:t xml:space="preserve">经查实，若投标供应商存在政府采购违法、违规行为，主管部门将依据《深圳经济特区政府采购条例》第五十七条的规定，处以一至三年内禁止参与本市政府采购，并由主管部门记入供应商诚信档案，处采购金额千分之十以上千分之二十以下罚款；情节严重的，取消参与本市政府采购资格，处采购金额千分之二十以上千分之三十以下罚款，并由市场监管部门依法吊销营业执照。 </w:t>
      </w:r>
    </w:p>
    <w:p w14:paraId="587726CB">
      <w:pPr>
        <w:ind w:firstLine="442" w:firstLineChars="200"/>
        <w:rPr>
          <w:rFonts w:ascii="宋体" w:hAnsi="宋体" w:cs="宋体"/>
          <w:b/>
          <w:bCs/>
          <w:color w:val="FF0000"/>
          <w:sz w:val="22"/>
          <w:szCs w:val="22"/>
          <w:highlight w:val="none"/>
        </w:rPr>
      </w:pPr>
      <w:r>
        <w:rPr>
          <w:rFonts w:hint="eastAsia" w:ascii="宋体" w:hAnsi="宋体" w:cs="宋体"/>
          <w:b/>
          <w:bCs/>
          <w:color w:val="FF0000"/>
          <w:sz w:val="22"/>
          <w:szCs w:val="22"/>
          <w:highlight w:val="none"/>
        </w:rPr>
        <w:t xml:space="preserve">以下文字请投标供应商抄写并确认：“本公司已仔细阅读《政府采购违法行为风险知悉确认书》，充分知悉违法行为的法律后果，并承诺将严谨、诚信、依法依规参与政府采购活动”。 </w:t>
      </w:r>
    </w:p>
    <w:p w14:paraId="1B1F690D">
      <w:pPr>
        <w:pStyle w:val="55"/>
        <w:rPr>
          <w:rFonts w:cs="宋体"/>
          <w:sz w:val="22"/>
          <w:szCs w:val="22"/>
          <w:highlight w:val="none"/>
          <w:u w:val="single"/>
        </w:rPr>
      </w:pPr>
      <w:r>
        <w:rPr>
          <w:rFonts w:hint="eastAsia" w:cs="宋体"/>
          <w:sz w:val="22"/>
          <w:szCs w:val="22"/>
          <w:highlight w:val="none"/>
          <w:u w:val="single"/>
        </w:rPr>
        <w:t xml:space="preserve">                                                                           </w:t>
      </w:r>
    </w:p>
    <w:p w14:paraId="0632A50C">
      <w:pPr>
        <w:pStyle w:val="55"/>
        <w:rPr>
          <w:rFonts w:cs="宋体"/>
          <w:sz w:val="22"/>
          <w:szCs w:val="22"/>
          <w:highlight w:val="none"/>
          <w:u w:val="single"/>
        </w:rPr>
      </w:pPr>
      <w:r>
        <w:rPr>
          <w:rFonts w:hint="eastAsia" w:cs="宋体"/>
          <w:sz w:val="22"/>
          <w:szCs w:val="22"/>
          <w:highlight w:val="none"/>
          <w:u w:val="single"/>
        </w:rPr>
        <w:t xml:space="preserve">                                                                           </w:t>
      </w:r>
    </w:p>
    <w:p w14:paraId="6A28304A">
      <w:pPr>
        <w:pStyle w:val="55"/>
        <w:rPr>
          <w:rFonts w:cs="宋体"/>
          <w:sz w:val="22"/>
          <w:szCs w:val="22"/>
          <w:highlight w:val="none"/>
          <w:u w:val="single"/>
        </w:rPr>
      </w:pPr>
      <w:r>
        <w:rPr>
          <w:rFonts w:hint="eastAsia" w:cs="宋体"/>
          <w:sz w:val="22"/>
          <w:szCs w:val="22"/>
          <w:highlight w:val="none"/>
          <w:u w:val="single"/>
        </w:rPr>
        <w:t xml:space="preserve">                                                                           </w:t>
      </w:r>
    </w:p>
    <w:p w14:paraId="1CBD9B12">
      <w:pPr>
        <w:pStyle w:val="55"/>
        <w:rPr>
          <w:rFonts w:cs="宋体"/>
          <w:sz w:val="22"/>
          <w:szCs w:val="22"/>
          <w:highlight w:val="none"/>
          <w:u w:val="single"/>
        </w:rPr>
      </w:pPr>
      <w:r>
        <w:rPr>
          <w:rFonts w:hint="eastAsia" w:cs="宋体"/>
          <w:sz w:val="22"/>
          <w:szCs w:val="22"/>
          <w:highlight w:val="none"/>
          <w:u w:val="single"/>
        </w:rPr>
        <w:t xml:space="preserve">                                                                           </w:t>
      </w:r>
    </w:p>
    <w:p w14:paraId="347E7021">
      <w:pPr>
        <w:pStyle w:val="55"/>
        <w:rPr>
          <w:rFonts w:cs="宋体"/>
          <w:sz w:val="22"/>
          <w:szCs w:val="22"/>
          <w:highlight w:val="none"/>
        </w:rPr>
      </w:pPr>
    </w:p>
    <w:p w14:paraId="08250E03">
      <w:pPr>
        <w:jc w:val="right"/>
        <w:rPr>
          <w:rFonts w:ascii="宋体" w:hAnsi="宋体" w:cs="宋体"/>
          <w:sz w:val="22"/>
          <w:szCs w:val="22"/>
          <w:highlight w:val="none"/>
        </w:rPr>
      </w:pPr>
      <w:r>
        <w:rPr>
          <w:rFonts w:hint="eastAsia" w:ascii="宋体" w:hAnsi="宋体" w:cs="宋体"/>
          <w:color w:val="000000"/>
          <w:sz w:val="22"/>
          <w:szCs w:val="22"/>
          <w:highlight w:val="none"/>
        </w:rPr>
        <w:t xml:space="preserve">负责人/投标授权代表签名： </w:t>
      </w:r>
    </w:p>
    <w:p w14:paraId="69239D3A">
      <w:pPr>
        <w:jc w:val="right"/>
        <w:rPr>
          <w:rFonts w:ascii="宋体" w:hAnsi="宋体" w:cs="宋体"/>
          <w:sz w:val="22"/>
          <w:szCs w:val="22"/>
          <w:highlight w:val="none"/>
        </w:rPr>
      </w:pPr>
      <w:r>
        <w:rPr>
          <w:rFonts w:hint="eastAsia" w:ascii="宋体" w:hAnsi="宋体" w:cs="宋体"/>
          <w:color w:val="000000"/>
          <w:sz w:val="22"/>
          <w:szCs w:val="22"/>
          <w:highlight w:val="none"/>
        </w:rPr>
        <w:t xml:space="preserve">知悉人（公章）： </w:t>
      </w:r>
    </w:p>
    <w:p w14:paraId="18C1B4E2">
      <w:pPr>
        <w:jc w:val="right"/>
        <w:rPr>
          <w:rFonts w:ascii="宋体" w:hAnsi="宋体" w:cs="宋体"/>
          <w:sz w:val="22"/>
          <w:szCs w:val="22"/>
          <w:highlight w:val="none"/>
        </w:rPr>
      </w:pPr>
      <w:r>
        <w:rPr>
          <w:rFonts w:hint="eastAsia" w:ascii="宋体" w:hAnsi="宋体" w:cs="宋体"/>
          <w:color w:val="000000"/>
          <w:sz w:val="22"/>
          <w:szCs w:val="22"/>
          <w:highlight w:val="none"/>
        </w:rPr>
        <w:t>日期：</w:t>
      </w:r>
    </w:p>
    <w:p w14:paraId="2B88386E">
      <w:pPr>
        <w:rPr>
          <w:rFonts w:ascii="宋体" w:hAnsi="宋体" w:cs="宋体"/>
          <w:b/>
          <w:bCs/>
          <w:highlight w:val="none"/>
        </w:rPr>
      </w:pPr>
    </w:p>
    <w:p w14:paraId="56260D89">
      <w:pPr>
        <w:spacing w:line="360" w:lineRule="auto"/>
        <w:rPr>
          <w:rFonts w:ascii="Times New Roman" w:hAnsi="Times New Roman"/>
          <w:color w:val="000000" w:themeColor="text1"/>
          <w:sz w:val="22"/>
          <w:szCs w:val="22"/>
          <w:highlight w:val="none"/>
          <w14:textFill>
            <w14:solidFill>
              <w14:schemeClr w14:val="tx1"/>
            </w14:solidFill>
          </w14:textFill>
        </w:rPr>
      </w:pPr>
      <w:r>
        <w:rPr>
          <w:rFonts w:hint="eastAsia" w:ascii="宋体" w:hAnsi="宋体" w:cs="宋体"/>
          <w:b/>
          <w:bCs/>
          <w:highlight w:val="none"/>
        </w:rPr>
        <w:t>注：该风险知悉确认书用于对供应商违法行为的警示，不作为供应商资格性审查及符合性审查条件。</w:t>
      </w:r>
    </w:p>
    <w:p w14:paraId="5B67CC52">
      <w:pPr>
        <w:rPr>
          <w:rFonts w:ascii="宋体" w:hAnsi="宋体" w:cs="宋体"/>
          <w:b/>
          <w:bCs/>
          <w:color w:val="000000" w:themeColor="text1"/>
          <w:sz w:val="32"/>
          <w:highlight w:val="none"/>
          <w14:textFill>
            <w14:solidFill>
              <w14:schemeClr w14:val="tx1"/>
            </w14:solidFill>
          </w14:textFill>
        </w:rPr>
      </w:pPr>
      <w:r>
        <w:rPr>
          <w:rFonts w:ascii="Times New Roman" w:hAnsi="Times New Roman"/>
          <w:color w:val="000000" w:themeColor="text1"/>
          <w:sz w:val="28"/>
          <w:szCs w:val="32"/>
          <w:highlight w:val="none"/>
          <w14:textFill>
            <w14:solidFill>
              <w14:schemeClr w14:val="tx1"/>
            </w14:solidFill>
          </w14:textFill>
        </w:rPr>
        <w:br w:type="page"/>
      </w:r>
    </w:p>
    <w:p w14:paraId="6087C489">
      <w:pPr>
        <w:ind w:left="420"/>
        <w:jc w:val="center"/>
        <w:outlineLvl w:val="3"/>
        <w:rPr>
          <w:rFonts w:ascii="宋体" w:hAnsi="宋体" w:cs="宋体"/>
          <w:b/>
          <w:bCs/>
          <w:color w:val="000000" w:themeColor="text1"/>
          <w:sz w:val="32"/>
          <w:highlight w:val="none"/>
          <w14:textFill>
            <w14:solidFill>
              <w14:schemeClr w14:val="tx1"/>
            </w14:solidFill>
          </w14:textFill>
        </w:rPr>
      </w:pPr>
      <w:r>
        <w:rPr>
          <w:rFonts w:hint="eastAsia" w:ascii="宋体" w:hAnsi="宋体" w:cs="宋体"/>
          <w:b/>
          <w:bCs/>
          <w:color w:val="000000" w:themeColor="text1"/>
          <w:sz w:val="32"/>
          <w:highlight w:val="none"/>
          <w14:textFill>
            <w14:solidFill>
              <w14:schemeClr w14:val="tx1"/>
            </w14:solidFill>
          </w14:textFill>
        </w:rPr>
        <w:t>六、法定代表人证明书</w:t>
      </w:r>
    </w:p>
    <w:p w14:paraId="6DE5D8F9">
      <w:pPr>
        <w:rPr>
          <w:rFonts w:ascii="宋体" w:hAnsi="宋体" w:cs="宋体"/>
          <w:color w:val="000000" w:themeColor="text1"/>
          <w:highlight w:val="none"/>
          <w14:textFill>
            <w14:solidFill>
              <w14:schemeClr w14:val="tx1"/>
            </w14:solidFill>
          </w14:textFill>
        </w:rPr>
      </w:pPr>
    </w:p>
    <w:p w14:paraId="2291BB3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2"/>
          <w:highlight w:val="none"/>
        </w:rPr>
      </w:pPr>
      <w:r>
        <w:rPr>
          <w:rFonts w:hint="eastAsia" w:cs="宋体"/>
          <w:sz w:val="22"/>
          <w:highlight w:val="none"/>
          <w:u w:val="single"/>
        </w:rPr>
        <w:t xml:space="preserve"> </w:t>
      </w:r>
      <w:r>
        <w:rPr>
          <w:rFonts w:hint="eastAsia" w:ascii="宋体" w:hAnsi="宋体" w:eastAsia="宋体" w:cs="宋体"/>
          <w:sz w:val="22"/>
          <w:highlight w:val="none"/>
          <w:u w:val="single"/>
        </w:rPr>
        <w:t xml:space="preserve">        </w:t>
      </w:r>
      <w:r>
        <w:rPr>
          <w:rFonts w:hint="eastAsia" w:ascii="宋体" w:hAnsi="宋体" w:eastAsia="宋体" w:cs="宋体"/>
          <w:sz w:val="22"/>
          <w:highlight w:val="none"/>
        </w:rPr>
        <w:t>同志，现任我单位</w:t>
      </w:r>
      <w:r>
        <w:rPr>
          <w:rFonts w:hint="eastAsia" w:ascii="宋体" w:hAnsi="宋体" w:eastAsia="宋体" w:cs="宋体"/>
          <w:sz w:val="22"/>
          <w:highlight w:val="none"/>
          <w:u w:val="single"/>
        </w:rPr>
        <w:t xml:space="preserve">         </w:t>
      </w:r>
      <w:r>
        <w:rPr>
          <w:rFonts w:hint="eastAsia" w:ascii="宋体" w:hAnsi="宋体" w:eastAsia="宋体" w:cs="宋体"/>
          <w:sz w:val="22"/>
          <w:highlight w:val="none"/>
        </w:rPr>
        <w:t>职务，为法定代表人，特此证明。</w:t>
      </w:r>
    </w:p>
    <w:p w14:paraId="46B5F61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2"/>
          <w:highlight w:val="none"/>
        </w:rPr>
      </w:pPr>
      <w:r>
        <w:rPr>
          <w:rFonts w:hint="eastAsia" w:ascii="宋体" w:hAnsi="宋体" w:eastAsia="宋体" w:cs="宋体"/>
          <w:sz w:val="22"/>
          <w:highlight w:val="none"/>
        </w:rPr>
        <w:t xml:space="preserve">有效日期：         签发日期：         单位：              </w:t>
      </w:r>
    </w:p>
    <w:p w14:paraId="6D05254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2"/>
          <w:highlight w:val="none"/>
        </w:rPr>
      </w:pPr>
      <w:r>
        <w:rPr>
          <w:rFonts w:hint="eastAsia" w:ascii="宋体" w:hAnsi="宋体" w:eastAsia="宋体" w:cs="宋体"/>
          <w:sz w:val="22"/>
          <w:highlight w:val="none"/>
        </w:rPr>
        <w:t>附：代表人性别：   年龄：      身份证号码：</w:t>
      </w:r>
    </w:p>
    <w:p w14:paraId="7278F7C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2"/>
          <w:highlight w:val="none"/>
        </w:rPr>
      </w:pPr>
      <w:r>
        <w:rPr>
          <w:rFonts w:hint="eastAsia" w:ascii="宋体" w:hAnsi="宋体" w:eastAsia="宋体" w:cs="宋体"/>
          <w:sz w:val="22"/>
          <w:highlight w:val="none"/>
        </w:rPr>
        <w:t>营业执照号码：                 经济性质：</w:t>
      </w:r>
    </w:p>
    <w:p w14:paraId="09B41B3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2"/>
          <w:highlight w:val="none"/>
        </w:rPr>
      </w:pPr>
      <w:r>
        <w:rPr>
          <w:rFonts w:hint="eastAsia" w:ascii="宋体" w:hAnsi="宋体" w:eastAsia="宋体" w:cs="宋体"/>
          <w:sz w:val="22"/>
          <w:highlight w:val="none"/>
        </w:rPr>
        <w:t>主营（产）：</w:t>
      </w:r>
    </w:p>
    <w:p w14:paraId="587E69D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2"/>
          <w:highlight w:val="none"/>
        </w:rPr>
      </w:pPr>
      <w:r>
        <w:rPr>
          <w:rFonts w:hint="eastAsia" w:ascii="宋体" w:hAnsi="宋体" w:eastAsia="宋体" w:cs="宋体"/>
          <w:sz w:val="22"/>
          <w:highlight w:val="none"/>
        </w:rPr>
        <w:t>兼营（产）：</w:t>
      </w:r>
    </w:p>
    <w:p w14:paraId="27FA832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2"/>
          <w:highlight w:val="none"/>
        </w:rPr>
      </w:pPr>
      <w:r>
        <w:rPr>
          <w:rFonts w:hint="eastAsia" w:ascii="宋体" w:hAnsi="宋体" w:eastAsia="宋体" w:cs="宋体"/>
          <w:sz w:val="22"/>
          <w:highlight w:val="none"/>
        </w:rPr>
        <w:t>进口物品经营许可证号码：</w:t>
      </w:r>
    </w:p>
    <w:p w14:paraId="395F43D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2"/>
          <w:highlight w:val="none"/>
        </w:rPr>
      </w:pPr>
      <w:r>
        <w:rPr>
          <w:rFonts w:hint="eastAsia" w:ascii="宋体" w:hAnsi="宋体" w:eastAsia="宋体" w:cs="宋体"/>
          <w:sz w:val="22"/>
          <w:highlight w:val="none"/>
        </w:rPr>
        <w:t>主营：</w:t>
      </w:r>
    </w:p>
    <w:p w14:paraId="250507A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2"/>
          <w:highlight w:val="none"/>
        </w:rPr>
      </w:pPr>
      <w:r>
        <w:rPr>
          <w:rFonts w:hint="eastAsia" w:ascii="宋体" w:hAnsi="宋体" w:eastAsia="宋体" w:cs="宋体"/>
          <w:sz w:val="22"/>
          <w:highlight w:val="none"/>
        </w:rPr>
        <w:t>兼营：</w:t>
      </w:r>
    </w:p>
    <w:p w14:paraId="52B3329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2"/>
          <w:highlight w:val="none"/>
        </w:rPr>
      </w:pPr>
      <w:r>
        <w:rPr>
          <w:rFonts w:hint="eastAsia" w:ascii="宋体" w:hAnsi="宋体" w:eastAsia="宋体" w:cs="宋体"/>
          <w:sz w:val="22"/>
          <w:highlight w:val="none"/>
        </w:rPr>
        <w:t>说明：1、法定代表人为企业事业单位、国家机关、社会团体的主要行政负责人。</w:t>
      </w:r>
    </w:p>
    <w:p w14:paraId="0BA0590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2"/>
          <w:highlight w:val="none"/>
        </w:rPr>
      </w:pPr>
      <w:r>
        <w:rPr>
          <w:rFonts w:hint="eastAsia" w:ascii="宋体" w:hAnsi="宋体" w:eastAsia="宋体" w:cs="宋体"/>
          <w:sz w:val="22"/>
          <w:highlight w:val="none"/>
        </w:rPr>
        <w:t xml:space="preserve">      2、内容必须填写真实、清楚，涂改无效，不得转让、买卖。</w:t>
      </w:r>
    </w:p>
    <w:p w14:paraId="24A085DC">
      <w:pPr>
        <w:keepNext w:val="0"/>
        <w:keepLines w:val="0"/>
        <w:pageBreakBefore w:val="0"/>
        <w:widowControl w:val="0"/>
        <w:kinsoku/>
        <w:wordWrap/>
        <w:overflowPunct/>
        <w:topLinePunct w:val="0"/>
        <w:autoSpaceDE/>
        <w:autoSpaceDN/>
        <w:bidi w:val="0"/>
        <w:adjustRightInd/>
        <w:snapToGrid/>
        <w:spacing w:line="360" w:lineRule="auto"/>
        <w:ind w:left="660"/>
        <w:textAlignment w:val="auto"/>
        <w:rPr>
          <w:rFonts w:hint="eastAsia" w:ascii="宋体" w:hAnsi="宋体" w:eastAsia="宋体" w:cs="宋体"/>
          <w:sz w:val="22"/>
          <w:highlight w:val="none"/>
        </w:rPr>
      </w:pPr>
      <w:r>
        <w:rPr>
          <w:rFonts w:hint="eastAsia" w:ascii="宋体" w:hAnsi="宋体" w:eastAsia="宋体" w:cs="宋体"/>
          <w:sz w:val="22"/>
          <w:highlight w:val="none"/>
        </w:rPr>
        <w:t>3、提供法定代表人的身份证复印件（附后）。</w:t>
      </w:r>
    </w:p>
    <w:p w14:paraId="120B332A">
      <w:pPr>
        <w:spacing w:line="360" w:lineRule="exact"/>
        <w:ind w:firstLine="663" w:firstLineChars="300"/>
        <w:rPr>
          <w:rFonts w:ascii="宋体" w:hAnsi="宋体" w:cs="宋体"/>
          <w:color w:val="000000" w:themeColor="text1"/>
          <w:sz w:val="22"/>
          <w:szCs w:val="22"/>
          <w:highlight w:val="none"/>
          <w14:textFill>
            <w14:solidFill>
              <w14:schemeClr w14:val="tx1"/>
            </w14:solidFill>
          </w14:textFill>
        </w:rPr>
      </w:pPr>
      <w:r>
        <w:rPr>
          <w:rFonts w:hint="eastAsia"/>
          <w:b/>
          <w:color w:val="FF0000"/>
          <w:sz w:val="22"/>
          <w:highlight w:val="none"/>
        </w:rPr>
        <w:t>4</w:t>
      </w:r>
      <w:r>
        <w:rPr>
          <w:rFonts w:hint="eastAsia"/>
          <w:b/>
          <w:color w:val="FF0000"/>
          <w:sz w:val="22"/>
          <w:highlight w:val="none"/>
          <w:lang w:eastAsia="zh-CN"/>
        </w:rPr>
        <w:t>、</w:t>
      </w:r>
      <w:r>
        <w:rPr>
          <w:rFonts w:hint="eastAsia"/>
          <w:b/>
          <w:color w:val="FF0000"/>
          <w:sz w:val="22"/>
          <w:highlight w:val="none"/>
        </w:rPr>
        <w:t>提供法定代表人的投标截止前近一个月（由于社保部门原因最近一个月的社保证明无法提供的可往前顺延一个月）的社保证明。</w:t>
      </w:r>
    </w:p>
    <w:p w14:paraId="2F6EF733">
      <w:pPr>
        <w:rPr>
          <w:rFonts w:ascii="宋体" w:hAnsi="宋体" w:cs="宋体"/>
          <w:color w:val="000000" w:themeColor="text1"/>
          <w:sz w:val="22"/>
          <w:szCs w:val="22"/>
          <w:highlight w:val="none"/>
          <w14:textFill>
            <w14:solidFill>
              <w14:schemeClr w14:val="tx1"/>
            </w14:solidFill>
          </w14:textFill>
        </w:rPr>
      </w:pPr>
    </w:p>
    <w:p w14:paraId="61C29A92">
      <w:pPr>
        <w:spacing w:line="360" w:lineRule="auto"/>
        <w:rPr>
          <w:rFonts w:ascii="宋体" w:hAnsi="宋体"/>
          <w:color w:val="000000" w:themeColor="text1"/>
          <w:sz w:val="22"/>
          <w:szCs w:val="22"/>
          <w:highlight w:val="none"/>
          <w14:textFill>
            <w14:solidFill>
              <w14:schemeClr w14:val="tx1"/>
            </w14:solidFill>
          </w14:textFill>
        </w:rPr>
      </w:pPr>
    </w:p>
    <w:p w14:paraId="28DC3ED4">
      <w:pPr>
        <w:spacing w:line="360" w:lineRule="auto"/>
        <w:rPr>
          <w:rFonts w:ascii="Times New Roman" w:hAnsi="Times New Roman"/>
          <w:color w:val="000000" w:themeColor="text1"/>
          <w:sz w:val="22"/>
          <w:szCs w:val="22"/>
          <w:highlight w:val="none"/>
          <w14:textFill>
            <w14:solidFill>
              <w14:schemeClr w14:val="tx1"/>
            </w14:solidFill>
          </w14:textFill>
        </w:rPr>
      </w:pPr>
      <w:r>
        <w:rPr>
          <w:rFonts w:hint="eastAsia" w:ascii="Times New Roman" w:hAnsi="Times New Roman"/>
          <w:color w:val="000000" w:themeColor="text1"/>
          <w:sz w:val="22"/>
          <w:szCs w:val="22"/>
          <w:highlight w:val="none"/>
          <w14:textFill>
            <w14:solidFill>
              <w14:schemeClr w14:val="tx1"/>
            </w14:solidFill>
          </w14:textFill>
        </w:rPr>
        <w:t xml:space="preserve">投标人名称（盖章）：                        </w:t>
      </w:r>
    </w:p>
    <w:p w14:paraId="4B659375">
      <w:pPr>
        <w:spacing w:line="360" w:lineRule="auto"/>
        <w:rPr>
          <w:rFonts w:ascii="Times New Roman" w:hAnsi="Times New Roman"/>
          <w:color w:val="000000" w:themeColor="text1"/>
          <w:sz w:val="22"/>
          <w:szCs w:val="22"/>
          <w:highlight w:val="none"/>
          <w14:textFill>
            <w14:solidFill>
              <w14:schemeClr w14:val="tx1"/>
            </w14:solidFill>
          </w14:textFill>
        </w:rPr>
      </w:pPr>
      <w:r>
        <w:rPr>
          <w:rFonts w:hint="eastAsia" w:ascii="Times New Roman" w:hAnsi="Times New Roman"/>
          <w:color w:val="000000" w:themeColor="text1"/>
          <w:sz w:val="22"/>
          <w:szCs w:val="22"/>
          <w:highlight w:val="none"/>
          <w14:textFill>
            <w14:solidFill>
              <w14:schemeClr w14:val="tx1"/>
            </w14:solidFill>
          </w14:textFill>
        </w:rPr>
        <w:t>日期：   年   月   日</w:t>
      </w:r>
    </w:p>
    <w:p w14:paraId="10BA500B">
      <w:pPr>
        <w:rPr>
          <w:rFonts w:ascii="宋体" w:hAnsi="宋体" w:cs="宋体"/>
          <w:b/>
          <w:bCs/>
          <w:color w:val="000000" w:themeColor="text1"/>
          <w:sz w:val="32"/>
          <w:highlight w:val="none"/>
          <w14:textFill>
            <w14:solidFill>
              <w14:schemeClr w14:val="tx1"/>
            </w14:solidFill>
          </w14:textFill>
        </w:rPr>
      </w:pPr>
      <w:r>
        <w:rPr>
          <w:rFonts w:hint="eastAsia" w:ascii="宋体" w:hAnsi="宋体" w:cs="宋体"/>
          <w:b/>
          <w:bCs/>
          <w:color w:val="000000" w:themeColor="text1"/>
          <w:sz w:val="32"/>
          <w:highlight w:val="none"/>
          <w14:textFill>
            <w14:solidFill>
              <w14:schemeClr w14:val="tx1"/>
            </w14:solidFill>
          </w14:textFill>
        </w:rPr>
        <w:br w:type="page"/>
      </w:r>
    </w:p>
    <w:p w14:paraId="3412202F">
      <w:pPr>
        <w:ind w:left="420"/>
        <w:jc w:val="center"/>
        <w:outlineLvl w:val="3"/>
        <w:rPr>
          <w:rFonts w:ascii="宋体" w:hAnsi="宋体" w:cs="宋体"/>
          <w:b/>
          <w:bCs/>
          <w:color w:val="000000" w:themeColor="text1"/>
          <w:sz w:val="32"/>
          <w:highlight w:val="none"/>
          <w14:textFill>
            <w14:solidFill>
              <w14:schemeClr w14:val="tx1"/>
            </w14:solidFill>
          </w14:textFill>
        </w:rPr>
      </w:pPr>
      <w:r>
        <w:rPr>
          <w:rFonts w:hint="eastAsia" w:ascii="宋体" w:hAnsi="宋体" w:cs="宋体"/>
          <w:b/>
          <w:bCs/>
          <w:color w:val="000000" w:themeColor="text1"/>
          <w:sz w:val="32"/>
          <w:highlight w:val="none"/>
          <w14:textFill>
            <w14:solidFill>
              <w14:schemeClr w14:val="tx1"/>
            </w14:solidFill>
          </w14:textFill>
        </w:rPr>
        <w:t>七、法定代表人授权书</w:t>
      </w:r>
    </w:p>
    <w:p w14:paraId="2771C0D0">
      <w:pPr>
        <w:rPr>
          <w:rFonts w:ascii="宋体" w:hAnsi="宋体" w:cs="宋体"/>
          <w:bCs/>
          <w:color w:val="000000" w:themeColor="text1"/>
          <w:sz w:val="24"/>
          <w:highlight w:val="none"/>
          <w14:textFill>
            <w14:solidFill>
              <w14:schemeClr w14:val="tx1"/>
            </w14:solidFill>
          </w14:textFill>
        </w:rPr>
      </w:pPr>
    </w:p>
    <w:p w14:paraId="4ED205E0">
      <w:pPr>
        <w:keepNext w:val="0"/>
        <w:keepLines w:val="0"/>
        <w:pageBreakBefore w:val="0"/>
        <w:widowControl w:val="0"/>
        <w:kinsoku/>
        <w:wordWrap/>
        <w:overflowPunct/>
        <w:topLinePunct w:val="0"/>
        <w:autoSpaceDE/>
        <w:autoSpaceDN/>
        <w:bidi w:val="0"/>
        <w:adjustRightInd/>
        <w:snapToGrid/>
        <w:spacing w:line="360" w:lineRule="auto"/>
        <w:textAlignment w:val="auto"/>
        <w:rPr>
          <w:bCs/>
          <w:sz w:val="22"/>
          <w:highlight w:val="none"/>
        </w:rPr>
      </w:pPr>
      <w:r>
        <w:rPr>
          <w:bCs/>
          <w:sz w:val="22"/>
          <w:highlight w:val="none"/>
        </w:rPr>
        <w:t>致：</w:t>
      </w:r>
      <w:r>
        <w:rPr>
          <w:kern w:val="0"/>
          <w:sz w:val="22"/>
          <w:highlight w:val="none"/>
        </w:rPr>
        <w:t>深圳市东海国际招标有限公司</w:t>
      </w:r>
    </w:p>
    <w:p w14:paraId="191926E0">
      <w:pPr>
        <w:keepNext w:val="0"/>
        <w:keepLines w:val="0"/>
        <w:pageBreakBefore w:val="0"/>
        <w:widowControl w:val="0"/>
        <w:kinsoku/>
        <w:wordWrap/>
        <w:overflowPunct/>
        <w:topLinePunct w:val="0"/>
        <w:autoSpaceDE/>
        <w:autoSpaceDN/>
        <w:bidi w:val="0"/>
        <w:adjustRightInd/>
        <w:snapToGrid/>
        <w:spacing w:line="360" w:lineRule="auto"/>
        <w:textAlignment w:val="auto"/>
        <w:rPr>
          <w:bCs/>
          <w:sz w:val="22"/>
          <w:highlight w:val="none"/>
        </w:rPr>
      </w:pPr>
    </w:p>
    <w:p w14:paraId="38B0CCCF">
      <w:pPr>
        <w:keepNext w:val="0"/>
        <w:keepLines w:val="0"/>
        <w:pageBreakBefore w:val="0"/>
        <w:widowControl w:val="0"/>
        <w:kinsoku/>
        <w:wordWrap/>
        <w:overflowPunct/>
        <w:topLinePunct w:val="0"/>
        <w:autoSpaceDE/>
        <w:autoSpaceDN/>
        <w:bidi w:val="0"/>
        <w:adjustRightInd/>
        <w:snapToGrid/>
        <w:spacing w:line="360" w:lineRule="auto"/>
        <w:textAlignment w:val="auto"/>
        <w:rPr>
          <w:bCs/>
          <w:sz w:val="22"/>
          <w:highlight w:val="none"/>
        </w:rPr>
      </w:pPr>
      <w:r>
        <w:rPr>
          <w:bCs/>
          <w:sz w:val="22"/>
          <w:highlight w:val="none"/>
        </w:rPr>
        <w:t xml:space="preserve">     </w:t>
      </w:r>
      <w:r>
        <w:rPr>
          <w:bCs/>
          <w:sz w:val="22"/>
          <w:highlight w:val="none"/>
          <w:u w:val="single"/>
        </w:rPr>
        <w:t xml:space="preserve">          （投标人全称）     </w:t>
      </w:r>
      <w:r>
        <w:rPr>
          <w:bCs/>
          <w:sz w:val="22"/>
          <w:highlight w:val="none"/>
        </w:rPr>
        <w:t xml:space="preserve"> 法定代表人</w:t>
      </w:r>
      <w:r>
        <w:rPr>
          <w:bCs/>
          <w:sz w:val="22"/>
          <w:highlight w:val="none"/>
          <w:u w:val="single"/>
        </w:rPr>
        <w:t xml:space="preserve">  （姓名、职务）              </w:t>
      </w:r>
      <w:r>
        <w:rPr>
          <w:bCs/>
          <w:sz w:val="22"/>
          <w:highlight w:val="none"/>
        </w:rPr>
        <w:t xml:space="preserve">授权 </w:t>
      </w:r>
      <w:r>
        <w:rPr>
          <w:bCs/>
          <w:sz w:val="22"/>
          <w:highlight w:val="none"/>
          <w:u w:val="single"/>
        </w:rPr>
        <w:t xml:space="preserve">  （被授权代表姓名、职务）              </w:t>
      </w:r>
      <w:r>
        <w:rPr>
          <w:bCs/>
          <w:sz w:val="22"/>
          <w:highlight w:val="none"/>
        </w:rPr>
        <w:t>为本公司合法代理人，参加贵招标代理公司组织的</w:t>
      </w:r>
      <w:r>
        <w:rPr>
          <w:bCs/>
          <w:sz w:val="22"/>
          <w:highlight w:val="none"/>
          <w:u w:val="single"/>
        </w:rPr>
        <w:t xml:space="preserve">   (项目名称)（项目编号）                      </w:t>
      </w:r>
      <w:r>
        <w:rPr>
          <w:bCs/>
          <w:sz w:val="22"/>
          <w:highlight w:val="none"/>
        </w:rPr>
        <w:t xml:space="preserve"> 项目的招标投标活动，代表本公司处理招标投标活动中的一切事宜。包括但不限于：投标、参与开标、谈判、签约等。投标人代表在投标过程中所签署的一切文件和处理与之有关的一切事务，本公司均予以认可并对此承担责任。投标人代表无转委权。特此授权。</w:t>
      </w:r>
    </w:p>
    <w:p w14:paraId="198D46C6">
      <w:pPr>
        <w:keepNext w:val="0"/>
        <w:keepLines w:val="0"/>
        <w:pageBreakBefore w:val="0"/>
        <w:widowControl w:val="0"/>
        <w:kinsoku/>
        <w:wordWrap/>
        <w:overflowPunct/>
        <w:topLinePunct w:val="0"/>
        <w:autoSpaceDE/>
        <w:autoSpaceDN/>
        <w:bidi w:val="0"/>
        <w:adjustRightInd/>
        <w:snapToGrid/>
        <w:spacing w:line="360" w:lineRule="auto"/>
        <w:textAlignment w:val="auto"/>
        <w:rPr>
          <w:bCs/>
          <w:sz w:val="22"/>
          <w:highlight w:val="none"/>
        </w:rPr>
      </w:pPr>
      <w:r>
        <w:rPr>
          <w:bCs/>
          <w:sz w:val="22"/>
          <w:highlight w:val="none"/>
        </w:rPr>
        <w:t xml:space="preserve">     本授权书于</w:t>
      </w:r>
      <w:r>
        <w:rPr>
          <w:bCs/>
          <w:sz w:val="22"/>
          <w:highlight w:val="none"/>
          <w:u w:val="single"/>
        </w:rPr>
        <w:t xml:space="preserve">       </w:t>
      </w:r>
      <w:r>
        <w:rPr>
          <w:bCs/>
          <w:sz w:val="22"/>
          <w:highlight w:val="none"/>
        </w:rPr>
        <w:t>年</w:t>
      </w:r>
      <w:r>
        <w:rPr>
          <w:bCs/>
          <w:sz w:val="22"/>
          <w:highlight w:val="none"/>
          <w:u w:val="single"/>
        </w:rPr>
        <w:t xml:space="preserve">   </w:t>
      </w:r>
      <w:r>
        <w:rPr>
          <w:bCs/>
          <w:sz w:val="22"/>
          <w:highlight w:val="none"/>
        </w:rPr>
        <w:t>月</w:t>
      </w:r>
      <w:r>
        <w:rPr>
          <w:bCs/>
          <w:sz w:val="22"/>
          <w:highlight w:val="none"/>
          <w:u w:val="single"/>
        </w:rPr>
        <w:t xml:space="preserve">    </w:t>
      </w:r>
      <w:r>
        <w:rPr>
          <w:bCs/>
          <w:sz w:val="22"/>
          <w:highlight w:val="none"/>
        </w:rPr>
        <w:t>日签字生效，特此声明。</w:t>
      </w:r>
    </w:p>
    <w:p w14:paraId="2B08B675">
      <w:pPr>
        <w:keepNext w:val="0"/>
        <w:keepLines w:val="0"/>
        <w:pageBreakBefore w:val="0"/>
        <w:widowControl w:val="0"/>
        <w:kinsoku/>
        <w:wordWrap/>
        <w:overflowPunct/>
        <w:topLinePunct w:val="0"/>
        <w:autoSpaceDE/>
        <w:autoSpaceDN/>
        <w:bidi w:val="0"/>
        <w:adjustRightInd/>
        <w:snapToGrid/>
        <w:spacing w:line="360" w:lineRule="auto"/>
        <w:textAlignment w:val="auto"/>
        <w:rPr>
          <w:bCs/>
          <w:sz w:val="22"/>
          <w:highlight w:val="none"/>
        </w:rPr>
      </w:pPr>
    </w:p>
    <w:p w14:paraId="4E5BE8F9">
      <w:pPr>
        <w:keepNext w:val="0"/>
        <w:keepLines w:val="0"/>
        <w:pageBreakBefore w:val="0"/>
        <w:widowControl w:val="0"/>
        <w:kinsoku/>
        <w:wordWrap/>
        <w:overflowPunct/>
        <w:topLinePunct w:val="0"/>
        <w:autoSpaceDE/>
        <w:autoSpaceDN/>
        <w:bidi w:val="0"/>
        <w:adjustRightInd/>
        <w:snapToGrid/>
        <w:spacing w:line="360" w:lineRule="auto"/>
        <w:ind w:firstLine="110" w:firstLineChars="50"/>
        <w:textAlignment w:val="auto"/>
        <w:rPr>
          <w:bCs/>
          <w:sz w:val="22"/>
          <w:highlight w:val="none"/>
          <w:u w:val="single"/>
        </w:rPr>
      </w:pPr>
      <w:r>
        <w:rPr>
          <w:bCs/>
          <w:sz w:val="22"/>
          <w:highlight w:val="none"/>
        </w:rPr>
        <w:t>被授权人：</w:t>
      </w:r>
      <w:r>
        <w:rPr>
          <w:bCs/>
          <w:sz w:val="22"/>
          <w:highlight w:val="none"/>
          <w:u w:val="single"/>
        </w:rPr>
        <w:t xml:space="preserve">                  </w:t>
      </w:r>
      <w:r>
        <w:rPr>
          <w:bCs/>
          <w:sz w:val="22"/>
          <w:highlight w:val="none"/>
        </w:rPr>
        <w:t xml:space="preserve">   职务：</w:t>
      </w:r>
      <w:r>
        <w:rPr>
          <w:bCs/>
          <w:sz w:val="22"/>
          <w:highlight w:val="none"/>
          <w:u w:val="single"/>
        </w:rPr>
        <w:t xml:space="preserve">                  </w:t>
      </w:r>
    </w:p>
    <w:p w14:paraId="25DAA8A4">
      <w:pPr>
        <w:keepNext w:val="0"/>
        <w:keepLines w:val="0"/>
        <w:pageBreakBefore w:val="0"/>
        <w:widowControl w:val="0"/>
        <w:kinsoku/>
        <w:wordWrap/>
        <w:overflowPunct/>
        <w:topLinePunct w:val="0"/>
        <w:autoSpaceDE/>
        <w:autoSpaceDN/>
        <w:bidi w:val="0"/>
        <w:adjustRightInd/>
        <w:snapToGrid/>
        <w:spacing w:line="360" w:lineRule="auto"/>
        <w:ind w:firstLine="110" w:firstLineChars="50"/>
        <w:textAlignment w:val="auto"/>
        <w:rPr>
          <w:bCs/>
          <w:sz w:val="22"/>
          <w:highlight w:val="none"/>
          <w:u w:val="single"/>
        </w:rPr>
      </w:pPr>
      <w:r>
        <w:rPr>
          <w:bCs/>
          <w:sz w:val="22"/>
          <w:highlight w:val="none"/>
        </w:rPr>
        <w:t>联系电话：</w:t>
      </w:r>
      <w:r>
        <w:rPr>
          <w:bCs/>
          <w:sz w:val="22"/>
          <w:highlight w:val="none"/>
          <w:u w:val="single"/>
        </w:rPr>
        <w:t xml:space="preserve">                  </w:t>
      </w:r>
      <w:r>
        <w:rPr>
          <w:bCs/>
          <w:sz w:val="22"/>
          <w:highlight w:val="none"/>
        </w:rPr>
        <w:t xml:space="preserve">   手机：</w:t>
      </w:r>
      <w:r>
        <w:rPr>
          <w:bCs/>
          <w:sz w:val="22"/>
          <w:highlight w:val="none"/>
          <w:u w:val="single"/>
        </w:rPr>
        <w:t xml:space="preserve">                  </w:t>
      </w:r>
    </w:p>
    <w:p w14:paraId="32B2EA72">
      <w:pPr>
        <w:keepNext w:val="0"/>
        <w:keepLines w:val="0"/>
        <w:pageBreakBefore w:val="0"/>
        <w:widowControl w:val="0"/>
        <w:kinsoku/>
        <w:wordWrap/>
        <w:overflowPunct/>
        <w:topLinePunct w:val="0"/>
        <w:autoSpaceDE/>
        <w:autoSpaceDN/>
        <w:bidi w:val="0"/>
        <w:adjustRightInd/>
        <w:snapToGrid/>
        <w:spacing w:line="360" w:lineRule="auto"/>
        <w:ind w:firstLine="110" w:firstLineChars="50"/>
        <w:textAlignment w:val="auto"/>
        <w:rPr>
          <w:bCs/>
          <w:sz w:val="22"/>
          <w:highlight w:val="none"/>
        </w:rPr>
      </w:pPr>
      <w:r>
        <w:rPr>
          <w:bCs/>
          <w:sz w:val="22"/>
          <w:highlight w:val="none"/>
        </w:rPr>
        <w:t>身份证号码：</w:t>
      </w:r>
      <w:r>
        <w:rPr>
          <w:bCs/>
          <w:sz w:val="22"/>
          <w:highlight w:val="none"/>
          <w:u w:val="single"/>
        </w:rPr>
        <w:t xml:space="preserve">                                           </w:t>
      </w:r>
    </w:p>
    <w:p w14:paraId="1CFEB17A">
      <w:pPr>
        <w:keepNext w:val="0"/>
        <w:keepLines w:val="0"/>
        <w:pageBreakBefore w:val="0"/>
        <w:widowControl w:val="0"/>
        <w:kinsoku/>
        <w:wordWrap/>
        <w:overflowPunct/>
        <w:topLinePunct w:val="0"/>
        <w:autoSpaceDE/>
        <w:autoSpaceDN/>
        <w:bidi w:val="0"/>
        <w:adjustRightInd/>
        <w:snapToGrid/>
        <w:spacing w:line="360" w:lineRule="auto"/>
        <w:ind w:firstLine="110" w:firstLineChars="50"/>
        <w:textAlignment w:val="auto"/>
        <w:rPr>
          <w:bCs/>
          <w:sz w:val="22"/>
          <w:highlight w:val="none"/>
          <w:u w:val="single"/>
        </w:rPr>
      </w:pPr>
      <w:r>
        <w:rPr>
          <w:bCs/>
          <w:sz w:val="22"/>
          <w:highlight w:val="none"/>
        </w:rPr>
        <w:t>投标人（盖章）：</w:t>
      </w:r>
      <w:r>
        <w:rPr>
          <w:bCs/>
          <w:sz w:val="22"/>
          <w:highlight w:val="none"/>
          <w:u w:val="single"/>
        </w:rPr>
        <w:t xml:space="preserve">                                        </w:t>
      </w:r>
    </w:p>
    <w:p w14:paraId="10AD7ED8">
      <w:pPr>
        <w:keepNext w:val="0"/>
        <w:keepLines w:val="0"/>
        <w:pageBreakBefore w:val="0"/>
        <w:widowControl w:val="0"/>
        <w:kinsoku/>
        <w:wordWrap/>
        <w:overflowPunct/>
        <w:topLinePunct w:val="0"/>
        <w:autoSpaceDE/>
        <w:autoSpaceDN/>
        <w:bidi w:val="0"/>
        <w:adjustRightInd/>
        <w:snapToGrid/>
        <w:spacing w:line="360" w:lineRule="auto"/>
        <w:ind w:firstLine="110" w:firstLineChars="50"/>
        <w:textAlignment w:val="auto"/>
        <w:rPr>
          <w:bCs/>
          <w:sz w:val="22"/>
          <w:highlight w:val="none"/>
          <w:u w:val="single"/>
        </w:rPr>
      </w:pPr>
      <w:r>
        <w:rPr>
          <w:bCs/>
          <w:sz w:val="22"/>
          <w:highlight w:val="none"/>
        </w:rPr>
        <w:t>法定代表人（签名）：</w:t>
      </w:r>
      <w:r>
        <w:rPr>
          <w:bCs/>
          <w:sz w:val="22"/>
          <w:highlight w:val="none"/>
          <w:u w:val="single"/>
        </w:rPr>
        <w:t xml:space="preserve">                                    </w:t>
      </w:r>
    </w:p>
    <w:p w14:paraId="63B8026F">
      <w:pPr>
        <w:keepNext w:val="0"/>
        <w:keepLines w:val="0"/>
        <w:pageBreakBefore w:val="0"/>
        <w:widowControl w:val="0"/>
        <w:kinsoku/>
        <w:wordWrap/>
        <w:overflowPunct/>
        <w:topLinePunct w:val="0"/>
        <w:autoSpaceDE/>
        <w:autoSpaceDN/>
        <w:bidi w:val="0"/>
        <w:adjustRightInd/>
        <w:snapToGrid/>
        <w:spacing w:line="360" w:lineRule="auto"/>
        <w:ind w:firstLine="110" w:firstLineChars="50"/>
        <w:textAlignment w:val="auto"/>
        <w:rPr>
          <w:bCs/>
          <w:sz w:val="22"/>
          <w:highlight w:val="none"/>
          <w:u w:val="single"/>
        </w:rPr>
      </w:pPr>
      <w:r>
        <w:rPr>
          <w:bCs/>
          <w:sz w:val="22"/>
          <w:highlight w:val="none"/>
        </w:rPr>
        <w:t>被授权人（签名）：</w:t>
      </w:r>
      <w:r>
        <w:rPr>
          <w:bCs/>
          <w:sz w:val="22"/>
          <w:highlight w:val="none"/>
          <w:u w:val="single"/>
        </w:rPr>
        <w:t xml:space="preserve">                                      </w:t>
      </w:r>
    </w:p>
    <w:p w14:paraId="5336E49F">
      <w:pPr>
        <w:keepNext w:val="0"/>
        <w:keepLines w:val="0"/>
        <w:pageBreakBefore w:val="0"/>
        <w:widowControl w:val="0"/>
        <w:kinsoku/>
        <w:wordWrap/>
        <w:overflowPunct/>
        <w:topLinePunct w:val="0"/>
        <w:autoSpaceDE/>
        <w:autoSpaceDN/>
        <w:bidi w:val="0"/>
        <w:adjustRightInd/>
        <w:snapToGrid/>
        <w:spacing w:line="360" w:lineRule="auto"/>
        <w:textAlignment w:val="auto"/>
        <w:rPr>
          <w:bCs/>
          <w:sz w:val="22"/>
          <w:highlight w:val="none"/>
        </w:rPr>
      </w:pPr>
    </w:p>
    <w:p w14:paraId="7E536FE9">
      <w:pPr>
        <w:keepNext w:val="0"/>
        <w:keepLines w:val="0"/>
        <w:pageBreakBefore w:val="0"/>
        <w:widowControl w:val="0"/>
        <w:kinsoku/>
        <w:wordWrap/>
        <w:overflowPunct/>
        <w:topLinePunct w:val="0"/>
        <w:autoSpaceDE/>
        <w:autoSpaceDN/>
        <w:bidi w:val="0"/>
        <w:adjustRightInd/>
        <w:snapToGrid/>
        <w:spacing w:line="360" w:lineRule="auto"/>
        <w:textAlignment w:val="auto"/>
        <w:rPr>
          <w:bCs/>
          <w:sz w:val="22"/>
          <w:highlight w:val="none"/>
        </w:rPr>
      </w:pPr>
      <w:r>
        <w:rPr>
          <w:bCs/>
          <w:sz w:val="22"/>
          <w:highlight w:val="none"/>
        </w:rPr>
        <w:t>说明：1.本授权委托书要求投标人提供有</w:t>
      </w:r>
      <w:r>
        <w:rPr>
          <w:b/>
          <w:bCs/>
          <w:sz w:val="22"/>
          <w:highlight w:val="none"/>
        </w:rPr>
        <w:t>代理人签字、法定代表人的签字（或盖私章）和加盖公章</w:t>
      </w:r>
      <w:r>
        <w:rPr>
          <w:bCs/>
          <w:sz w:val="22"/>
          <w:highlight w:val="none"/>
        </w:rPr>
        <w:t>后的原件方为有效；</w:t>
      </w:r>
    </w:p>
    <w:p w14:paraId="2621CD7F">
      <w:pPr>
        <w:keepNext w:val="0"/>
        <w:keepLines w:val="0"/>
        <w:pageBreakBefore w:val="0"/>
        <w:widowControl w:val="0"/>
        <w:kinsoku/>
        <w:wordWrap/>
        <w:overflowPunct/>
        <w:topLinePunct w:val="0"/>
        <w:autoSpaceDE/>
        <w:autoSpaceDN/>
        <w:bidi w:val="0"/>
        <w:adjustRightInd/>
        <w:snapToGrid/>
        <w:spacing w:line="360" w:lineRule="auto"/>
        <w:ind w:firstLine="660" w:firstLineChars="300"/>
        <w:textAlignment w:val="auto"/>
        <w:rPr>
          <w:rFonts w:hint="eastAsia"/>
          <w:bCs/>
          <w:sz w:val="22"/>
          <w:highlight w:val="none"/>
        </w:rPr>
      </w:pPr>
      <w:r>
        <w:rPr>
          <w:bCs/>
          <w:sz w:val="22"/>
          <w:highlight w:val="none"/>
        </w:rPr>
        <w:t>2.提供代理人的身份证复印件（附后）。</w:t>
      </w:r>
    </w:p>
    <w:p w14:paraId="706641C3">
      <w:pPr>
        <w:keepNext w:val="0"/>
        <w:keepLines w:val="0"/>
        <w:pageBreakBefore w:val="0"/>
        <w:widowControl w:val="0"/>
        <w:kinsoku/>
        <w:wordWrap/>
        <w:overflowPunct/>
        <w:topLinePunct w:val="0"/>
        <w:autoSpaceDE/>
        <w:autoSpaceDN/>
        <w:bidi w:val="0"/>
        <w:adjustRightInd/>
        <w:snapToGrid/>
        <w:spacing w:line="360" w:lineRule="auto"/>
        <w:ind w:firstLine="663" w:firstLineChars="300"/>
        <w:jc w:val="left"/>
        <w:textAlignment w:val="auto"/>
        <w:rPr>
          <w:b/>
          <w:bCs/>
          <w:color w:val="000000" w:themeColor="text1"/>
          <w:sz w:val="32"/>
          <w:szCs w:val="40"/>
          <w:highlight w:val="none"/>
          <w14:textFill>
            <w14:solidFill>
              <w14:schemeClr w14:val="tx1"/>
            </w14:solidFill>
          </w14:textFill>
        </w:rPr>
      </w:pPr>
      <w:r>
        <w:rPr>
          <w:rFonts w:hint="eastAsia"/>
          <w:b/>
          <w:color w:val="FF0000"/>
          <w:sz w:val="22"/>
          <w:highlight w:val="none"/>
        </w:rPr>
        <w:t>3.提供授权代表在投标人缴纳的投标截止前近一个月（由于社保部门原因最近一个月的社保证明无法提供的可往前顺延一个月）的社保证明。如供应商为新成立企业且成立时间不足一个月可提供加盖公章的情况说明或者证明材料亦视为符合。</w:t>
      </w:r>
      <w:r>
        <w:rPr>
          <w:rFonts w:hint="eastAsia" w:ascii="宋体" w:hAnsi="宋体" w:cs="宋体"/>
          <w:color w:val="000000" w:themeColor="text1"/>
          <w:highlight w:val="none"/>
          <w14:textFill>
            <w14:solidFill>
              <w14:schemeClr w14:val="tx1"/>
            </w14:solidFill>
          </w14:textFill>
        </w:rPr>
        <w:br w:type="page"/>
      </w:r>
    </w:p>
    <w:p w14:paraId="5622F14B">
      <w:pPr>
        <w:ind w:left="420"/>
        <w:jc w:val="center"/>
        <w:outlineLvl w:val="3"/>
        <w:rPr>
          <w:rFonts w:ascii="宋体" w:hAnsi="宋体" w:cs="宋体"/>
          <w:b/>
          <w:bCs/>
          <w:color w:val="000000" w:themeColor="text1"/>
          <w:sz w:val="22"/>
          <w:szCs w:val="22"/>
          <w:highlight w:val="none"/>
          <w14:textFill>
            <w14:solidFill>
              <w14:schemeClr w14:val="tx1"/>
            </w14:solidFill>
          </w14:textFill>
        </w:rPr>
      </w:pPr>
      <w:r>
        <w:rPr>
          <w:rFonts w:hint="eastAsia" w:ascii="宋体" w:hAnsi="宋体" w:cs="宋体"/>
          <w:b/>
          <w:bCs/>
          <w:color w:val="FF0000"/>
          <w:sz w:val="32"/>
          <w:szCs w:val="32"/>
          <w:highlight w:val="none"/>
        </w:rPr>
        <w:t>八、供应商基本情况表</w:t>
      </w:r>
    </w:p>
    <w:p w14:paraId="49532D5D">
      <w:pPr>
        <w:rPr>
          <w:rFonts w:hint="eastAsia" w:ascii="方正仿宋_GBK" w:hAnsi="方正仿宋_GBK" w:eastAsia="方正仿宋_GBK" w:cs="方正仿宋_GBK"/>
          <w:color w:val="FF0000"/>
          <w:sz w:val="24"/>
          <w:szCs w:val="24"/>
          <w:highlight w:val="none"/>
        </w:rPr>
      </w:pPr>
      <w:r>
        <w:rPr>
          <w:rFonts w:hint="eastAsia" w:ascii="方正仿宋_GBK" w:hAnsi="方正仿宋_GBK" w:eastAsia="方正仿宋_GBK" w:cs="方正仿宋_GBK"/>
          <w:color w:val="FF0000"/>
          <w:sz w:val="24"/>
          <w:szCs w:val="24"/>
          <w:highlight w:val="none"/>
        </w:rPr>
        <w:t>投标单位：（加盖单位公章）</w:t>
      </w:r>
      <w:r>
        <w:rPr>
          <w:rFonts w:hint="eastAsia" w:ascii="方正仿宋_GBK" w:hAnsi="方正仿宋_GBK" w:eastAsia="方正仿宋_GBK" w:cs="方正仿宋_GBK"/>
          <w:color w:val="FF0000"/>
          <w:sz w:val="24"/>
          <w:szCs w:val="24"/>
          <w:highlight w:val="none"/>
        </w:rPr>
        <w:tab/>
      </w:r>
      <w:r>
        <w:rPr>
          <w:rFonts w:hint="eastAsia" w:ascii="方正仿宋_GBK" w:hAnsi="方正仿宋_GBK" w:eastAsia="方正仿宋_GBK" w:cs="方正仿宋_GBK"/>
          <w:color w:val="FF0000"/>
          <w:sz w:val="24"/>
          <w:szCs w:val="24"/>
          <w:highlight w:val="none"/>
        </w:rPr>
        <w:tab/>
      </w:r>
      <w:r>
        <w:rPr>
          <w:rFonts w:hint="eastAsia" w:ascii="方正仿宋_GBK" w:hAnsi="方正仿宋_GBK" w:eastAsia="方正仿宋_GBK" w:cs="方正仿宋_GBK"/>
          <w:color w:val="FF0000"/>
          <w:sz w:val="24"/>
          <w:szCs w:val="24"/>
          <w:highlight w:val="none"/>
        </w:rPr>
        <w:t xml:space="preserve">           填表日期：    年   月   日</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3"/>
        <w:gridCol w:w="556"/>
        <w:gridCol w:w="556"/>
        <w:gridCol w:w="476"/>
        <w:gridCol w:w="417"/>
        <w:gridCol w:w="1943"/>
        <w:gridCol w:w="1824"/>
        <w:gridCol w:w="1824"/>
      </w:tblGrid>
      <w:tr w14:paraId="3D212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gridSpan w:val="2"/>
            <w:noWrap w:val="0"/>
            <w:vAlign w:val="center"/>
          </w:tcPr>
          <w:p w14:paraId="3999E882">
            <w:pPr>
              <w:jc w:val="center"/>
              <w:rPr>
                <w:rFonts w:hint="eastAsia" w:ascii="宋体" w:hAnsi="宋体" w:cs="宋体"/>
                <w:color w:val="FF0000"/>
                <w:sz w:val="22"/>
                <w:highlight w:val="none"/>
              </w:rPr>
            </w:pPr>
            <w:r>
              <w:rPr>
                <w:rFonts w:hint="eastAsia" w:ascii="宋体" w:hAnsi="宋体" w:cs="宋体"/>
                <w:color w:val="FF0000"/>
                <w:sz w:val="22"/>
                <w:highlight w:val="none"/>
              </w:rPr>
              <w:t>采购人</w:t>
            </w:r>
          </w:p>
        </w:tc>
        <w:tc>
          <w:tcPr>
            <w:tcW w:w="0" w:type="auto"/>
            <w:gridSpan w:val="2"/>
            <w:noWrap w:val="0"/>
            <w:vAlign w:val="center"/>
          </w:tcPr>
          <w:p w14:paraId="47083084">
            <w:pPr>
              <w:jc w:val="center"/>
              <w:rPr>
                <w:rFonts w:hint="eastAsia" w:ascii="宋体" w:hAnsi="宋体" w:cs="宋体"/>
                <w:color w:val="FF0000"/>
                <w:sz w:val="22"/>
                <w:highlight w:val="none"/>
              </w:rPr>
            </w:pPr>
          </w:p>
        </w:tc>
        <w:tc>
          <w:tcPr>
            <w:tcW w:w="0" w:type="auto"/>
            <w:gridSpan w:val="2"/>
            <w:noWrap w:val="0"/>
            <w:vAlign w:val="center"/>
          </w:tcPr>
          <w:p w14:paraId="53C7FB4C">
            <w:pPr>
              <w:jc w:val="center"/>
              <w:rPr>
                <w:rFonts w:hint="eastAsia" w:ascii="宋体" w:hAnsi="宋体" w:cs="宋体"/>
                <w:color w:val="FF0000"/>
                <w:sz w:val="22"/>
                <w:highlight w:val="none"/>
              </w:rPr>
            </w:pPr>
            <w:r>
              <w:rPr>
                <w:rFonts w:hint="eastAsia" w:ascii="宋体" w:hAnsi="宋体" w:cs="宋体"/>
                <w:color w:val="FF0000"/>
                <w:sz w:val="22"/>
                <w:highlight w:val="none"/>
              </w:rPr>
              <w:t>项目名称</w:t>
            </w:r>
          </w:p>
        </w:tc>
        <w:tc>
          <w:tcPr>
            <w:tcW w:w="0" w:type="auto"/>
            <w:gridSpan w:val="2"/>
            <w:noWrap w:val="0"/>
            <w:vAlign w:val="center"/>
          </w:tcPr>
          <w:p w14:paraId="7790DA5B">
            <w:pPr>
              <w:jc w:val="center"/>
              <w:rPr>
                <w:rFonts w:hint="eastAsia" w:ascii="宋体" w:hAnsi="宋体" w:cs="宋体"/>
                <w:color w:val="FF0000"/>
                <w:sz w:val="22"/>
                <w:highlight w:val="none"/>
              </w:rPr>
            </w:pPr>
          </w:p>
        </w:tc>
      </w:tr>
      <w:tr w14:paraId="5003D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gridSpan w:val="2"/>
            <w:noWrap w:val="0"/>
            <w:vAlign w:val="center"/>
          </w:tcPr>
          <w:p w14:paraId="26139395">
            <w:pPr>
              <w:snapToGrid w:val="0"/>
              <w:jc w:val="center"/>
              <w:rPr>
                <w:rFonts w:hint="eastAsia" w:ascii="宋体" w:hAnsi="宋体" w:cs="宋体"/>
                <w:color w:val="FF0000"/>
                <w:sz w:val="22"/>
                <w:highlight w:val="none"/>
              </w:rPr>
            </w:pPr>
            <w:r>
              <w:rPr>
                <w:rFonts w:hint="eastAsia" w:ascii="宋体" w:hAnsi="宋体" w:cs="宋体"/>
                <w:color w:val="FF0000"/>
                <w:sz w:val="22"/>
                <w:highlight w:val="none"/>
              </w:rPr>
              <w:t>投标（响应）供应商</w:t>
            </w:r>
          </w:p>
        </w:tc>
        <w:tc>
          <w:tcPr>
            <w:tcW w:w="0" w:type="auto"/>
            <w:gridSpan w:val="2"/>
            <w:noWrap w:val="0"/>
            <w:vAlign w:val="center"/>
          </w:tcPr>
          <w:p w14:paraId="4F8A802B">
            <w:pPr>
              <w:jc w:val="center"/>
              <w:rPr>
                <w:rFonts w:hint="eastAsia" w:ascii="宋体" w:hAnsi="宋体" w:cs="宋体"/>
                <w:color w:val="FF0000"/>
                <w:sz w:val="22"/>
                <w:highlight w:val="none"/>
              </w:rPr>
            </w:pPr>
          </w:p>
        </w:tc>
        <w:tc>
          <w:tcPr>
            <w:tcW w:w="0" w:type="auto"/>
            <w:gridSpan w:val="2"/>
            <w:noWrap w:val="0"/>
            <w:vAlign w:val="center"/>
          </w:tcPr>
          <w:p w14:paraId="70285AB6">
            <w:pPr>
              <w:snapToGrid w:val="0"/>
              <w:jc w:val="center"/>
              <w:rPr>
                <w:rFonts w:hint="eastAsia" w:ascii="宋体" w:hAnsi="宋体" w:cs="宋体"/>
                <w:color w:val="FF0000"/>
                <w:sz w:val="22"/>
                <w:highlight w:val="none"/>
              </w:rPr>
            </w:pPr>
            <w:r>
              <w:rPr>
                <w:rFonts w:hint="eastAsia" w:ascii="宋体" w:hAnsi="宋体" w:cs="宋体"/>
                <w:color w:val="FF0000"/>
                <w:sz w:val="22"/>
                <w:highlight w:val="none"/>
              </w:rPr>
              <w:t>供应商统一社会信用代码</w:t>
            </w:r>
          </w:p>
        </w:tc>
        <w:tc>
          <w:tcPr>
            <w:tcW w:w="0" w:type="auto"/>
            <w:gridSpan w:val="2"/>
            <w:noWrap w:val="0"/>
            <w:vAlign w:val="center"/>
          </w:tcPr>
          <w:p w14:paraId="6B3C6BCD">
            <w:pPr>
              <w:jc w:val="center"/>
              <w:rPr>
                <w:rFonts w:hint="eastAsia" w:ascii="宋体" w:hAnsi="宋体" w:cs="宋体"/>
                <w:color w:val="FF0000"/>
                <w:sz w:val="22"/>
                <w:highlight w:val="none"/>
              </w:rPr>
            </w:pPr>
          </w:p>
        </w:tc>
      </w:tr>
      <w:tr w14:paraId="13795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gridSpan w:val="8"/>
            <w:noWrap w:val="0"/>
            <w:vAlign w:val="center"/>
          </w:tcPr>
          <w:p w14:paraId="6621B9D9">
            <w:pPr>
              <w:jc w:val="center"/>
              <w:rPr>
                <w:rFonts w:hint="eastAsia" w:ascii="宋体" w:hAnsi="宋体" w:cs="宋体"/>
                <w:color w:val="FF0000"/>
                <w:sz w:val="22"/>
                <w:highlight w:val="none"/>
              </w:rPr>
            </w:pPr>
            <w:r>
              <w:rPr>
                <w:rFonts w:hint="eastAsia" w:ascii="宋体" w:hAnsi="宋体" w:cs="宋体"/>
                <w:b/>
                <w:bCs/>
                <w:color w:val="FF0000"/>
                <w:sz w:val="22"/>
                <w:highlight w:val="none"/>
              </w:rPr>
              <w:t>投标（响应）供应商相关人员情况</w:t>
            </w:r>
          </w:p>
        </w:tc>
      </w:tr>
      <w:tr w14:paraId="29CA9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bottom w:val="single" w:color="auto" w:sz="4" w:space="0"/>
            </w:tcBorders>
            <w:noWrap w:val="0"/>
            <w:vAlign w:val="center"/>
          </w:tcPr>
          <w:p w14:paraId="10C225BC">
            <w:pPr>
              <w:snapToGrid w:val="0"/>
              <w:jc w:val="center"/>
              <w:rPr>
                <w:rFonts w:hint="eastAsia" w:ascii="宋体" w:hAnsi="宋体" w:cs="宋体"/>
                <w:color w:val="FF0000"/>
                <w:sz w:val="22"/>
                <w:highlight w:val="none"/>
              </w:rPr>
            </w:pPr>
            <w:r>
              <w:rPr>
                <w:rFonts w:hint="eastAsia" w:ascii="宋体" w:hAnsi="宋体" w:cs="宋体"/>
                <w:color w:val="FF0000"/>
                <w:sz w:val="22"/>
                <w:highlight w:val="none"/>
              </w:rPr>
              <w:t>序号</w:t>
            </w:r>
          </w:p>
        </w:tc>
        <w:tc>
          <w:tcPr>
            <w:tcW w:w="0" w:type="auto"/>
            <w:gridSpan w:val="2"/>
            <w:tcBorders>
              <w:bottom w:val="single" w:color="auto" w:sz="4" w:space="0"/>
            </w:tcBorders>
            <w:noWrap w:val="0"/>
            <w:vAlign w:val="center"/>
          </w:tcPr>
          <w:p w14:paraId="5E9693E3">
            <w:pPr>
              <w:jc w:val="center"/>
              <w:rPr>
                <w:rFonts w:hint="eastAsia" w:ascii="宋体" w:hAnsi="宋体" w:cs="宋体"/>
                <w:color w:val="FF0000"/>
                <w:sz w:val="22"/>
                <w:highlight w:val="none"/>
              </w:rPr>
            </w:pPr>
            <w:r>
              <w:rPr>
                <w:rFonts w:hint="eastAsia" w:ascii="宋体" w:hAnsi="宋体" w:cs="宋体"/>
                <w:color w:val="FF0000"/>
                <w:sz w:val="22"/>
                <w:highlight w:val="none"/>
              </w:rPr>
              <w:t>职务</w:t>
            </w:r>
          </w:p>
        </w:tc>
        <w:tc>
          <w:tcPr>
            <w:tcW w:w="0" w:type="auto"/>
            <w:tcBorders>
              <w:bottom w:val="single" w:color="auto" w:sz="4" w:space="0"/>
            </w:tcBorders>
            <w:noWrap w:val="0"/>
            <w:vAlign w:val="center"/>
          </w:tcPr>
          <w:p w14:paraId="05D6BC71">
            <w:pPr>
              <w:jc w:val="center"/>
              <w:rPr>
                <w:rFonts w:hint="eastAsia" w:ascii="宋体" w:hAnsi="宋体" w:cs="宋体"/>
                <w:color w:val="FF0000"/>
                <w:sz w:val="22"/>
                <w:highlight w:val="none"/>
              </w:rPr>
            </w:pPr>
            <w:r>
              <w:rPr>
                <w:rFonts w:hint="eastAsia" w:ascii="宋体" w:hAnsi="宋体" w:cs="宋体"/>
                <w:color w:val="FF0000"/>
                <w:sz w:val="22"/>
                <w:highlight w:val="none"/>
              </w:rPr>
              <w:t>姓名</w:t>
            </w:r>
          </w:p>
        </w:tc>
        <w:tc>
          <w:tcPr>
            <w:tcW w:w="0" w:type="auto"/>
            <w:gridSpan w:val="2"/>
            <w:tcBorders>
              <w:bottom w:val="single" w:color="auto" w:sz="4" w:space="0"/>
            </w:tcBorders>
            <w:noWrap w:val="0"/>
            <w:vAlign w:val="center"/>
          </w:tcPr>
          <w:p w14:paraId="1534A719">
            <w:pPr>
              <w:jc w:val="center"/>
              <w:rPr>
                <w:rFonts w:hint="eastAsia" w:ascii="宋体" w:hAnsi="宋体" w:cs="宋体"/>
                <w:color w:val="FF0000"/>
                <w:sz w:val="22"/>
                <w:highlight w:val="none"/>
              </w:rPr>
            </w:pPr>
            <w:r>
              <w:rPr>
                <w:rFonts w:hint="eastAsia" w:ascii="宋体" w:hAnsi="宋体" w:cs="宋体"/>
                <w:color w:val="FF0000"/>
                <w:sz w:val="22"/>
                <w:highlight w:val="none"/>
              </w:rPr>
              <w:t>身份证号码</w:t>
            </w:r>
          </w:p>
        </w:tc>
        <w:tc>
          <w:tcPr>
            <w:tcW w:w="0" w:type="auto"/>
            <w:tcBorders>
              <w:bottom w:val="single" w:color="auto" w:sz="4" w:space="0"/>
            </w:tcBorders>
            <w:noWrap w:val="0"/>
            <w:vAlign w:val="center"/>
          </w:tcPr>
          <w:p w14:paraId="0D6F3F9B">
            <w:pPr>
              <w:snapToGrid w:val="0"/>
              <w:jc w:val="center"/>
              <w:rPr>
                <w:rFonts w:hint="eastAsia" w:ascii="宋体" w:hAnsi="宋体" w:cs="宋体"/>
                <w:color w:val="FF0000"/>
                <w:sz w:val="22"/>
                <w:highlight w:val="none"/>
              </w:rPr>
            </w:pPr>
            <w:r>
              <w:rPr>
                <w:rFonts w:hint="eastAsia" w:ascii="宋体" w:hAnsi="宋体" w:cs="宋体"/>
                <w:color w:val="FF0000"/>
                <w:sz w:val="22"/>
                <w:highlight w:val="none"/>
              </w:rPr>
              <w:t>劳动合同</w:t>
            </w:r>
          </w:p>
          <w:p w14:paraId="3C86FE2D">
            <w:pPr>
              <w:snapToGrid w:val="0"/>
              <w:jc w:val="center"/>
              <w:rPr>
                <w:rFonts w:hint="eastAsia" w:ascii="宋体" w:hAnsi="宋体" w:cs="宋体"/>
                <w:color w:val="FF0000"/>
                <w:sz w:val="22"/>
                <w:highlight w:val="none"/>
              </w:rPr>
            </w:pPr>
            <w:r>
              <w:rPr>
                <w:rFonts w:hint="eastAsia" w:ascii="宋体" w:hAnsi="宋体" w:cs="宋体"/>
                <w:color w:val="FF0000"/>
                <w:sz w:val="22"/>
                <w:highlight w:val="none"/>
              </w:rPr>
              <w:t>关系单位</w:t>
            </w:r>
          </w:p>
        </w:tc>
        <w:tc>
          <w:tcPr>
            <w:tcW w:w="0" w:type="auto"/>
            <w:tcBorders>
              <w:bottom w:val="single" w:color="auto" w:sz="4" w:space="0"/>
            </w:tcBorders>
            <w:noWrap w:val="0"/>
            <w:vAlign w:val="center"/>
          </w:tcPr>
          <w:p w14:paraId="7BDB15FD">
            <w:pPr>
              <w:snapToGrid w:val="0"/>
              <w:jc w:val="center"/>
              <w:rPr>
                <w:rFonts w:hint="eastAsia" w:ascii="宋体" w:hAnsi="宋体" w:cs="宋体"/>
                <w:color w:val="FF0000"/>
                <w:sz w:val="22"/>
                <w:highlight w:val="none"/>
              </w:rPr>
            </w:pPr>
            <w:r>
              <w:rPr>
                <w:rFonts w:hint="eastAsia" w:ascii="宋体" w:hAnsi="宋体" w:cs="宋体"/>
                <w:color w:val="FF0000"/>
                <w:sz w:val="22"/>
                <w:highlight w:val="none"/>
              </w:rPr>
              <w:t>缴纳社会</w:t>
            </w:r>
          </w:p>
          <w:p w14:paraId="0ACDDCAE">
            <w:pPr>
              <w:snapToGrid w:val="0"/>
              <w:jc w:val="center"/>
              <w:rPr>
                <w:rFonts w:hint="eastAsia" w:ascii="宋体" w:hAnsi="宋体" w:cs="宋体"/>
                <w:color w:val="FF0000"/>
                <w:sz w:val="22"/>
                <w:highlight w:val="none"/>
              </w:rPr>
            </w:pPr>
            <w:r>
              <w:rPr>
                <w:rFonts w:hint="eastAsia" w:ascii="宋体" w:hAnsi="宋体" w:cs="宋体"/>
                <w:color w:val="FF0000"/>
                <w:sz w:val="22"/>
                <w:highlight w:val="none"/>
              </w:rPr>
              <w:t>保险单位</w:t>
            </w:r>
          </w:p>
        </w:tc>
      </w:tr>
      <w:tr w14:paraId="7BAA8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5" w:hRule="atLeast"/>
        </w:trPr>
        <w:tc>
          <w:tcPr>
            <w:tcW w:w="0" w:type="auto"/>
            <w:tcBorders>
              <w:top w:val="single" w:color="auto" w:sz="4" w:space="0"/>
              <w:left w:val="single" w:color="auto" w:sz="4" w:space="0"/>
              <w:bottom w:val="single" w:color="auto" w:sz="4" w:space="0"/>
              <w:right w:val="single" w:color="auto" w:sz="4" w:space="0"/>
            </w:tcBorders>
            <w:noWrap w:val="0"/>
            <w:vAlign w:val="center"/>
          </w:tcPr>
          <w:p w14:paraId="0D3AE1E9">
            <w:pPr>
              <w:jc w:val="center"/>
              <w:rPr>
                <w:rFonts w:hint="eastAsia" w:ascii="宋体" w:hAnsi="宋体" w:cs="宋体"/>
                <w:color w:val="FF0000"/>
                <w:sz w:val="22"/>
                <w:highlight w:val="none"/>
              </w:rPr>
            </w:pPr>
            <w:r>
              <w:rPr>
                <w:rFonts w:hint="eastAsia" w:ascii="宋体" w:hAnsi="宋体" w:cs="宋体"/>
                <w:color w:val="FF0000"/>
                <w:sz w:val="22"/>
                <w:highlight w:val="none"/>
              </w:rPr>
              <w:t>1</w:t>
            </w:r>
          </w:p>
        </w:tc>
        <w:tc>
          <w:tcPr>
            <w:tcW w:w="0" w:type="auto"/>
            <w:gridSpan w:val="2"/>
            <w:tcBorders>
              <w:top w:val="single" w:color="auto" w:sz="4" w:space="0"/>
              <w:left w:val="single" w:color="auto" w:sz="4" w:space="0"/>
              <w:bottom w:val="single" w:color="auto" w:sz="4" w:space="0"/>
              <w:right w:val="single" w:color="auto" w:sz="4" w:space="0"/>
            </w:tcBorders>
            <w:noWrap w:val="0"/>
            <w:vAlign w:val="center"/>
          </w:tcPr>
          <w:p w14:paraId="189DC591">
            <w:pPr>
              <w:spacing w:line="460" w:lineRule="exact"/>
              <w:jc w:val="center"/>
              <w:rPr>
                <w:rFonts w:hint="eastAsia" w:ascii="宋体" w:hAnsi="宋体" w:cs="宋体"/>
                <w:color w:val="FF0000"/>
                <w:sz w:val="22"/>
                <w:highlight w:val="none"/>
              </w:rPr>
            </w:pPr>
            <w:r>
              <w:rPr>
                <w:rFonts w:hint="eastAsia" w:ascii="宋体" w:hAnsi="宋体" w:cs="宋体"/>
                <w:color w:val="FF0000"/>
                <w:sz w:val="22"/>
                <w:highlight w:val="none"/>
              </w:rPr>
              <w:t>法定代表人/单位负责人/主要经营负责人</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1DC36526">
            <w:pPr>
              <w:jc w:val="center"/>
              <w:rPr>
                <w:rFonts w:hint="eastAsia" w:ascii="宋体" w:hAnsi="宋体" w:cs="宋体"/>
                <w:color w:val="FF0000"/>
                <w:sz w:val="22"/>
                <w:highlight w:val="none"/>
              </w:rPr>
            </w:pPr>
          </w:p>
        </w:tc>
        <w:tc>
          <w:tcPr>
            <w:tcW w:w="0" w:type="auto"/>
            <w:gridSpan w:val="2"/>
            <w:tcBorders>
              <w:top w:val="single" w:color="auto" w:sz="4" w:space="0"/>
              <w:left w:val="single" w:color="auto" w:sz="4" w:space="0"/>
              <w:bottom w:val="single" w:color="auto" w:sz="4" w:space="0"/>
              <w:right w:val="single" w:color="auto" w:sz="4" w:space="0"/>
            </w:tcBorders>
            <w:noWrap w:val="0"/>
            <w:vAlign w:val="center"/>
          </w:tcPr>
          <w:p w14:paraId="6CD64C7C">
            <w:pPr>
              <w:jc w:val="center"/>
              <w:rPr>
                <w:rFonts w:hint="eastAsia" w:ascii="宋体" w:hAnsi="宋体" w:cs="宋体"/>
                <w:color w:val="FF0000"/>
                <w:sz w:val="22"/>
                <w:highlight w:val="none"/>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2F799C1A">
            <w:pPr>
              <w:jc w:val="center"/>
              <w:rPr>
                <w:rFonts w:hint="eastAsia" w:ascii="宋体" w:hAnsi="宋体" w:cs="宋体"/>
                <w:color w:val="FF0000"/>
                <w:sz w:val="22"/>
                <w:highlight w:val="none"/>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7A5BF610">
            <w:pPr>
              <w:jc w:val="center"/>
              <w:rPr>
                <w:rFonts w:hint="eastAsia" w:ascii="宋体" w:hAnsi="宋体" w:cs="宋体"/>
                <w:color w:val="FF0000"/>
                <w:sz w:val="22"/>
                <w:highlight w:val="none"/>
              </w:rPr>
            </w:pPr>
          </w:p>
        </w:tc>
      </w:tr>
      <w:tr w14:paraId="0C15C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0" w:type="auto"/>
            <w:tcBorders>
              <w:top w:val="single" w:color="auto" w:sz="4" w:space="0"/>
              <w:left w:val="single" w:color="auto" w:sz="4" w:space="0"/>
              <w:bottom w:val="single" w:color="auto" w:sz="4" w:space="0"/>
              <w:right w:val="single" w:color="auto" w:sz="4" w:space="0"/>
            </w:tcBorders>
            <w:noWrap w:val="0"/>
            <w:vAlign w:val="center"/>
          </w:tcPr>
          <w:p w14:paraId="29FFD610">
            <w:pPr>
              <w:jc w:val="center"/>
              <w:rPr>
                <w:rFonts w:hint="eastAsia" w:ascii="宋体" w:hAnsi="宋体" w:cs="宋体"/>
                <w:color w:val="FF0000"/>
                <w:sz w:val="22"/>
                <w:highlight w:val="none"/>
              </w:rPr>
            </w:pPr>
            <w:r>
              <w:rPr>
                <w:rFonts w:hint="eastAsia" w:ascii="宋体" w:hAnsi="宋体" w:cs="宋体"/>
                <w:color w:val="FF0000"/>
                <w:sz w:val="22"/>
                <w:highlight w:val="none"/>
              </w:rPr>
              <w:t>2</w:t>
            </w:r>
          </w:p>
        </w:tc>
        <w:tc>
          <w:tcPr>
            <w:tcW w:w="0" w:type="auto"/>
            <w:gridSpan w:val="2"/>
            <w:tcBorders>
              <w:top w:val="single" w:color="auto" w:sz="4" w:space="0"/>
              <w:left w:val="single" w:color="auto" w:sz="4" w:space="0"/>
              <w:bottom w:val="single" w:color="auto" w:sz="4" w:space="0"/>
              <w:right w:val="single" w:color="auto" w:sz="4" w:space="0"/>
            </w:tcBorders>
            <w:noWrap w:val="0"/>
            <w:vAlign w:val="center"/>
          </w:tcPr>
          <w:p w14:paraId="3A495936">
            <w:pPr>
              <w:jc w:val="center"/>
              <w:rPr>
                <w:rFonts w:hint="eastAsia" w:ascii="宋体" w:hAnsi="宋体" w:cs="宋体"/>
                <w:color w:val="FF0000"/>
                <w:sz w:val="22"/>
                <w:highlight w:val="none"/>
              </w:rPr>
            </w:pPr>
            <w:r>
              <w:rPr>
                <w:rFonts w:hint="eastAsia" w:ascii="宋体" w:hAnsi="宋体" w:cs="宋体"/>
                <w:color w:val="FF0000"/>
                <w:sz w:val="22"/>
                <w:highlight w:val="none"/>
              </w:rPr>
              <w:t>项目投标授权代表人</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1B67E57D">
            <w:pPr>
              <w:jc w:val="center"/>
              <w:rPr>
                <w:rFonts w:hint="eastAsia" w:ascii="宋体" w:hAnsi="宋体" w:cs="宋体"/>
                <w:color w:val="FF0000"/>
                <w:sz w:val="22"/>
                <w:highlight w:val="none"/>
              </w:rPr>
            </w:pPr>
          </w:p>
        </w:tc>
        <w:tc>
          <w:tcPr>
            <w:tcW w:w="0" w:type="auto"/>
            <w:gridSpan w:val="2"/>
            <w:tcBorders>
              <w:top w:val="single" w:color="auto" w:sz="4" w:space="0"/>
              <w:left w:val="single" w:color="auto" w:sz="4" w:space="0"/>
              <w:bottom w:val="single" w:color="auto" w:sz="4" w:space="0"/>
              <w:right w:val="single" w:color="auto" w:sz="4" w:space="0"/>
            </w:tcBorders>
            <w:noWrap w:val="0"/>
            <w:vAlign w:val="center"/>
          </w:tcPr>
          <w:p w14:paraId="5CD6EDF9">
            <w:pPr>
              <w:jc w:val="center"/>
              <w:rPr>
                <w:rFonts w:hint="eastAsia" w:ascii="宋体" w:hAnsi="宋体" w:cs="宋体"/>
                <w:color w:val="FF0000"/>
                <w:sz w:val="22"/>
                <w:highlight w:val="none"/>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5D1DA84B">
            <w:pPr>
              <w:jc w:val="center"/>
              <w:rPr>
                <w:rFonts w:hint="eastAsia" w:ascii="宋体" w:hAnsi="宋体" w:cs="宋体"/>
                <w:color w:val="FF0000"/>
                <w:sz w:val="22"/>
                <w:highlight w:val="none"/>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097903CD">
            <w:pPr>
              <w:jc w:val="center"/>
              <w:rPr>
                <w:rFonts w:hint="eastAsia" w:ascii="宋体" w:hAnsi="宋体" w:cs="宋体"/>
                <w:color w:val="FF0000"/>
                <w:sz w:val="22"/>
                <w:highlight w:val="none"/>
              </w:rPr>
            </w:pPr>
          </w:p>
        </w:tc>
      </w:tr>
      <w:tr w14:paraId="0DACD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0" w:type="auto"/>
            <w:tcBorders>
              <w:top w:val="single" w:color="auto" w:sz="4" w:space="0"/>
            </w:tcBorders>
            <w:noWrap w:val="0"/>
            <w:vAlign w:val="center"/>
          </w:tcPr>
          <w:p w14:paraId="46A44DC6">
            <w:pPr>
              <w:jc w:val="center"/>
              <w:rPr>
                <w:rFonts w:hint="eastAsia" w:ascii="宋体" w:hAnsi="宋体" w:cs="宋体"/>
                <w:color w:val="FF0000"/>
                <w:sz w:val="22"/>
                <w:highlight w:val="none"/>
              </w:rPr>
            </w:pPr>
            <w:r>
              <w:rPr>
                <w:rFonts w:hint="eastAsia" w:ascii="宋体" w:hAnsi="宋体" w:cs="宋体"/>
                <w:color w:val="FF0000"/>
                <w:sz w:val="22"/>
                <w:highlight w:val="none"/>
                <w:lang w:bidi="ar"/>
              </w:rPr>
              <w:t>3</w:t>
            </w:r>
          </w:p>
        </w:tc>
        <w:tc>
          <w:tcPr>
            <w:tcW w:w="0" w:type="auto"/>
            <w:gridSpan w:val="2"/>
            <w:tcBorders>
              <w:top w:val="single" w:color="auto" w:sz="4" w:space="0"/>
            </w:tcBorders>
            <w:noWrap w:val="0"/>
            <w:vAlign w:val="center"/>
          </w:tcPr>
          <w:p w14:paraId="58FB5ADC">
            <w:pPr>
              <w:jc w:val="center"/>
              <w:rPr>
                <w:rFonts w:hint="eastAsia" w:ascii="宋体" w:hAnsi="宋体" w:cs="宋体"/>
                <w:color w:val="FF0000"/>
                <w:sz w:val="22"/>
                <w:highlight w:val="none"/>
              </w:rPr>
            </w:pPr>
            <w:r>
              <w:rPr>
                <w:rFonts w:hint="eastAsia" w:ascii="宋体" w:hAnsi="宋体" w:cs="宋体"/>
                <w:color w:val="FF0000"/>
                <w:sz w:val="22"/>
                <w:highlight w:val="none"/>
              </w:rPr>
              <w:t>项目负责人</w:t>
            </w:r>
          </w:p>
        </w:tc>
        <w:tc>
          <w:tcPr>
            <w:tcW w:w="0" w:type="auto"/>
            <w:tcBorders>
              <w:top w:val="single" w:color="auto" w:sz="4" w:space="0"/>
            </w:tcBorders>
            <w:noWrap w:val="0"/>
            <w:vAlign w:val="center"/>
          </w:tcPr>
          <w:p w14:paraId="57A014B2">
            <w:pPr>
              <w:jc w:val="center"/>
              <w:rPr>
                <w:rFonts w:hint="eastAsia" w:ascii="宋体" w:hAnsi="宋体" w:cs="宋体"/>
                <w:color w:val="FF0000"/>
                <w:sz w:val="22"/>
                <w:highlight w:val="none"/>
              </w:rPr>
            </w:pPr>
          </w:p>
        </w:tc>
        <w:tc>
          <w:tcPr>
            <w:tcW w:w="0" w:type="auto"/>
            <w:gridSpan w:val="2"/>
            <w:tcBorders>
              <w:top w:val="single" w:color="auto" w:sz="4" w:space="0"/>
            </w:tcBorders>
            <w:noWrap w:val="0"/>
            <w:vAlign w:val="center"/>
          </w:tcPr>
          <w:p w14:paraId="1345F5ED">
            <w:pPr>
              <w:jc w:val="center"/>
              <w:rPr>
                <w:rFonts w:hint="eastAsia" w:ascii="宋体" w:hAnsi="宋体" w:cs="宋体"/>
                <w:color w:val="FF0000"/>
                <w:sz w:val="22"/>
                <w:highlight w:val="none"/>
              </w:rPr>
            </w:pPr>
          </w:p>
        </w:tc>
        <w:tc>
          <w:tcPr>
            <w:tcW w:w="0" w:type="auto"/>
            <w:tcBorders>
              <w:top w:val="single" w:color="auto" w:sz="4" w:space="0"/>
            </w:tcBorders>
            <w:noWrap w:val="0"/>
            <w:vAlign w:val="center"/>
          </w:tcPr>
          <w:p w14:paraId="1EE846B6">
            <w:pPr>
              <w:jc w:val="center"/>
              <w:rPr>
                <w:rFonts w:hint="eastAsia" w:ascii="宋体" w:hAnsi="宋体" w:cs="宋体"/>
                <w:color w:val="FF0000"/>
                <w:sz w:val="22"/>
                <w:highlight w:val="none"/>
              </w:rPr>
            </w:pPr>
          </w:p>
        </w:tc>
        <w:tc>
          <w:tcPr>
            <w:tcW w:w="0" w:type="auto"/>
            <w:tcBorders>
              <w:top w:val="single" w:color="auto" w:sz="4" w:space="0"/>
            </w:tcBorders>
            <w:noWrap w:val="0"/>
            <w:vAlign w:val="center"/>
          </w:tcPr>
          <w:p w14:paraId="313A82CB">
            <w:pPr>
              <w:jc w:val="center"/>
              <w:rPr>
                <w:rFonts w:hint="eastAsia" w:ascii="宋体" w:hAnsi="宋体" w:cs="宋体"/>
                <w:color w:val="FF0000"/>
                <w:sz w:val="22"/>
                <w:highlight w:val="none"/>
              </w:rPr>
            </w:pPr>
          </w:p>
        </w:tc>
      </w:tr>
      <w:tr w14:paraId="2AFB9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trPr>
        <w:tc>
          <w:tcPr>
            <w:tcW w:w="0" w:type="auto"/>
            <w:noWrap w:val="0"/>
            <w:vAlign w:val="center"/>
          </w:tcPr>
          <w:p w14:paraId="6A881F04">
            <w:pPr>
              <w:jc w:val="center"/>
              <w:rPr>
                <w:rFonts w:hint="eastAsia" w:ascii="宋体" w:hAnsi="宋体" w:cs="宋体"/>
                <w:color w:val="FF0000"/>
                <w:sz w:val="22"/>
                <w:highlight w:val="none"/>
              </w:rPr>
            </w:pPr>
            <w:r>
              <w:rPr>
                <w:rFonts w:hint="eastAsia" w:ascii="宋体" w:hAnsi="宋体" w:cs="宋体"/>
                <w:color w:val="FF0000"/>
                <w:sz w:val="22"/>
                <w:highlight w:val="none"/>
                <w:lang w:bidi="ar"/>
              </w:rPr>
              <w:t>4</w:t>
            </w:r>
          </w:p>
        </w:tc>
        <w:tc>
          <w:tcPr>
            <w:tcW w:w="0" w:type="auto"/>
            <w:gridSpan w:val="2"/>
            <w:noWrap w:val="0"/>
            <w:vAlign w:val="center"/>
          </w:tcPr>
          <w:p w14:paraId="7F262850">
            <w:pPr>
              <w:jc w:val="center"/>
              <w:rPr>
                <w:rFonts w:hint="eastAsia" w:ascii="宋体" w:hAnsi="宋体" w:cs="宋体"/>
                <w:color w:val="FF0000"/>
                <w:sz w:val="22"/>
                <w:highlight w:val="none"/>
              </w:rPr>
            </w:pPr>
            <w:r>
              <w:rPr>
                <w:rFonts w:hint="eastAsia" w:ascii="宋体" w:hAnsi="宋体" w:cs="宋体"/>
                <w:color w:val="FF0000"/>
                <w:sz w:val="22"/>
                <w:highlight w:val="none"/>
              </w:rPr>
              <w:t>主要技术人员</w:t>
            </w:r>
          </w:p>
        </w:tc>
        <w:tc>
          <w:tcPr>
            <w:tcW w:w="0" w:type="auto"/>
            <w:noWrap w:val="0"/>
            <w:vAlign w:val="center"/>
          </w:tcPr>
          <w:p w14:paraId="3C175525">
            <w:pPr>
              <w:jc w:val="center"/>
              <w:rPr>
                <w:rFonts w:hint="eastAsia" w:ascii="宋体" w:hAnsi="宋体" w:cs="宋体"/>
                <w:color w:val="FF0000"/>
                <w:sz w:val="22"/>
                <w:highlight w:val="none"/>
              </w:rPr>
            </w:pPr>
          </w:p>
        </w:tc>
        <w:tc>
          <w:tcPr>
            <w:tcW w:w="0" w:type="auto"/>
            <w:gridSpan w:val="2"/>
            <w:noWrap w:val="0"/>
            <w:vAlign w:val="center"/>
          </w:tcPr>
          <w:p w14:paraId="0D1823C1">
            <w:pPr>
              <w:jc w:val="center"/>
              <w:rPr>
                <w:rFonts w:hint="eastAsia" w:ascii="宋体" w:hAnsi="宋体" w:cs="宋体"/>
                <w:color w:val="FF0000"/>
                <w:sz w:val="22"/>
                <w:highlight w:val="none"/>
              </w:rPr>
            </w:pPr>
          </w:p>
        </w:tc>
        <w:tc>
          <w:tcPr>
            <w:tcW w:w="0" w:type="auto"/>
            <w:noWrap w:val="0"/>
            <w:vAlign w:val="center"/>
          </w:tcPr>
          <w:p w14:paraId="54E3419C">
            <w:pPr>
              <w:jc w:val="center"/>
              <w:rPr>
                <w:rFonts w:hint="eastAsia" w:ascii="宋体" w:hAnsi="宋体" w:cs="宋体"/>
                <w:color w:val="FF0000"/>
                <w:sz w:val="22"/>
                <w:highlight w:val="none"/>
              </w:rPr>
            </w:pPr>
          </w:p>
        </w:tc>
        <w:tc>
          <w:tcPr>
            <w:tcW w:w="0" w:type="auto"/>
            <w:noWrap w:val="0"/>
            <w:vAlign w:val="center"/>
          </w:tcPr>
          <w:p w14:paraId="4E5DD329">
            <w:pPr>
              <w:jc w:val="center"/>
              <w:rPr>
                <w:rFonts w:hint="eastAsia" w:ascii="宋体" w:hAnsi="宋体" w:cs="宋体"/>
                <w:color w:val="FF0000"/>
                <w:sz w:val="22"/>
                <w:highlight w:val="none"/>
              </w:rPr>
            </w:pPr>
          </w:p>
        </w:tc>
      </w:tr>
      <w:tr w14:paraId="59689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0" w:type="auto"/>
            <w:noWrap w:val="0"/>
            <w:vAlign w:val="center"/>
          </w:tcPr>
          <w:p w14:paraId="14F006B1">
            <w:pPr>
              <w:jc w:val="center"/>
              <w:rPr>
                <w:rFonts w:hint="eastAsia" w:ascii="宋体" w:hAnsi="宋体" w:cs="宋体"/>
                <w:color w:val="FF0000"/>
                <w:sz w:val="22"/>
                <w:highlight w:val="none"/>
              </w:rPr>
            </w:pPr>
            <w:r>
              <w:rPr>
                <w:rFonts w:hint="eastAsia" w:ascii="宋体" w:hAnsi="宋体" w:cs="宋体"/>
                <w:color w:val="FF0000"/>
                <w:sz w:val="22"/>
                <w:highlight w:val="none"/>
                <w:lang w:bidi="ar"/>
              </w:rPr>
              <w:t>5</w:t>
            </w:r>
          </w:p>
        </w:tc>
        <w:tc>
          <w:tcPr>
            <w:tcW w:w="0" w:type="auto"/>
            <w:gridSpan w:val="2"/>
            <w:noWrap w:val="0"/>
            <w:vAlign w:val="center"/>
          </w:tcPr>
          <w:p w14:paraId="4485C725">
            <w:pPr>
              <w:pStyle w:val="7"/>
              <w:snapToGrid w:val="0"/>
              <w:ind w:firstLine="0"/>
              <w:jc w:val="center"/>
              <w:rPr>
                <w:rFonts w:hint="eastAsia" w:ascii="宋体" w:hAnsi="宋体" w:cs="宋体"/>
                <w:color w:val="FF0000"/>
                <w:sz w:val="22"/>
                <w:szCs w:val="22"/>
                <w:highlight w:val="none"/>
              </w:rPr>
            </w:pPr>
            <w:r>
              <w:rPr>
                <w:rFonts w:hint="eastAsia" w:ascii="宋体" w:hAnsi="宋体" w:cs="宋体"/>
                <w:color w:val="FF0000"/>
                <w:sz w:val="22"/>
                <w:szCs w:val="22"/>
                <w:highlight w:val="none"/>
              </w:rPr>
              <w:t>投标文件编制人员</w:t>
            </w:r>
          </w:p>
        </w:tc>
        <w:tc>
          <w:tcPr>
            <w:tcW w:w="0" w:type="auto"/>
            <w:noWrap w:val="0"/>
            <w:vAlign w:val="center"/>
          </w:tcPr>
          <w:p w14:paraId="102B1EFB">
            <w:pPr>
              <w:jc w:val="center"/>
              <w:rPr>
                <w:rFonts w:hint="eastAsia" w:ascii="宋体" w:hAnsi="宋体" w:cs="宋体"/>
                <w:color w:val="FF0000"/>
                <w:sz w:val="22"/>
                <w:highlight w:val="none"/>
              </w:rPr>
            </w:pPr>
          </w:p>
        </w:tc>
        <w:tc>
          <w:tcPr>
            <w:tcW w:w="0" w:type="auto"/>
            <w:gridSpan w:val="2"/>
            <w:noWrap w:val="0"/>
            <w:vAlign w:val="center"/>
          </w:tcPr>
          <w:p w14:paraId="06E8B784">
            <w:pPr>
              <w:jc w:val="center"/>
              <w:rPr>
                <w:rFonts w:hint="eastAsia" w:ascii="宋体" w:hAnsi="宋体" w:cs="宋体"/>
                <w:color w:val="FF0000"/>
                <w:sz w:val="22"/>
                <w:highlight w:val="none"/>
              </w:rPr>
            </w:pPr>
          </w:p>
        </w:tc>
        <w:tc>
          <w:tcPr>
            <w:tcW w:w="0" w:type="auto"/>
            <w:noWrap w:val="0"/>
            <w:vAlign w:val="center"/>
          </w:tcPr>
          <w:p w14:paraId="20F783B7">
            <w:pPr>
              <w:jc w:val="center"/>
              <w:rPr>
                <w:rFonts w:hint="eastAsia" w:ascii="宋体" w:hAnsi="宋体" w:cs="宋体"/>
                <w:color w:val="FF0000"/>
                <w:sz w:val="22"/>
                <w:highlight w:val="none"/>
              </w:rPr>
            </w:pPr>
          </w:p>
        </w:tc>
        <w:tc>
          <w:tcPr>
            <w:tcW w:w="0" w:type="auto"/>
            <w:noWrap w:val="0"/>
            <w:vAlign w:val="center"/>
          </w:tcPr>
          <w:p w14:paraId="49ACAA0B">
            <w:pPr>
              <w:jc w:val="center"/>
              <w:rPr>
                <w:rFonts w:hint="eastAsia" w:ascii="宋体" w:hAnsi="宋体" w:cs="宋体"/>
                <w:color w:val="FF0000"/>
                <w:sz w:val="22"/>
                <w:highlight w:val="none"/>
              </w:rPr>
            </w:pPr>
          </w:p>
        </w:tc>
      </w:tr>
      <w:tr w14:paraId="59B09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gridSpan w:val="8"/>
            <w:noWrap w:val="0"/>
            <w:vAlign w:val="center"/>
          </w:tcPr>
          <w:p w14:paraId="76389178">
            <w:pPr>
              <w:jc w:val="left"/>
              <w:rPr>
                <w:rFonts w:hint="eastAsia" w:ascii="宋体" w:hAnsi="宋体" w:cs="宋体"/>
                <w:color w:val="FF0000"/>
                <w:sz w:val="22"/>
                <w:highlight w:val="none"/>
              </w:rPr>
            </w:pPr>
            <w:r>
              <w:rPr>
                <w:rFonts w:hint="eastAsia" w:ascii="宋体" w:hAnsi="宋体" w:cs="宋体"/>
                <w:b/>
                <w:bCs/>
                <w:color w:val="FF0000"/>
                <w:sz w:val="22"/>
                <w:highlight w:val="none"/>
              </w:rPr>
              <w:t>说明：同一职务有多人担任（如主要技术人员），应分行填写。</w:t>
            </w:r>
          </w:p>
        </w:tc>
      </w:tr>
      <w:tr w14:paraId="735C6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0" w:type="auto"/>
            <w:gridSpan w:val="8"/>
            <w:noWrap w:val="0"/>
            <w:vAlign w:val="center"/>
          </w:tcPr>
          <w:p w14:paraId="1C31A798">
            <w:pPr>
              <w:jc w:val="center"/>
              <w:rPr>
                <w:rFonts w:hint="eastAsia" w:ascii="宋体" w:hAnsi="宋体" w:cs="宋体"/>
                <w:b/>
                <w:bCs/>
                <w:color w:val="FF0000"/>
                <w:sz w:val="22"/>
                <w:highlight w:val="none"/>
              </w:rPr>
            </w:pPr>
            <w:r>
              <w:rPr>
                <w:rFonts w:hint="eastAsia" w:ascii="宋体" w:hAnsi="宋体" w:cs="宋体"/>
                <w:b/>
                <w:bCs/>
                <w:color w:val="FF0000"/>
                <w:sz w:val="22"/>
                <w:highlight w:val="none"/>
              </w:rPr>
              <w:t>投标（响应）供应商关联关系情况</w:t>
            </w:r>
          </w:p>
        </w:tc>
      </w:tr>
      <w:tr w14:paraId="25EE9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bottom w:val="single" w:color="auto" w:sz="4" w:space="0"/>
            </w:tcBorders>
            <w:noWrap w:val="0"/>
            <w:vAlign w:val="center"/>
          </w:tcPr>
          <w:p w14:paraId="3023665C">
            <w:pPr>
              <w:jc w:val="center"/>
              <w:rPr>
                <w:rFonts w:hint="eastAsia" w:ascii="宋体" w:hAnsi="宋体" w:cs="宋体"/>
                <w:color w:val="FF0000"/>
                <w:sz w:val="22"/>
                <w:highlight w:val="none"/>
                <w:lang w:bidi="ar"/>
              </w:rPr>
            </w:pPr>
            <w:r>
              <w:rPr>
                <w:rFonts w:hint="eastAsia" w:ascii="宋体" w:hAnsi="宋体" w:cs="宋体"/>
                <w:color w:val="FF0000"/>
                <w:sz w:val="22"/>
                <w:highlight w:val="none"/>
                <w:lang w:bidi="ar"/>
              </w:rPr>
              <w:t>序号</w:t>
            </w:r>
          </w:p>
        </w:tc>
        <w:tc>
          <w:tcPr>
            <w:tcW w:w="0" w:type="auto"/>
            <w:gridSpan w:val="2"/>
            <w:tcBorders>
              <w:bottom w:val="single" w:color="auto" w:sz="4" w:space="0"/>
            </w:tcBorders>
            <w:noWrap w:val="0"/>
            <w:vAlign w:val="center"/>
          </w:tcPr>
          <w:p w14:paraId="396038E8">
            <w:pPr>
              <w:jc w:val="center"/>
              <w:rPr>
                <w:rFonts w:hint="eastAsia" w:ascii="宋体" w:hAnsi="宋体" w:cs="宋体"/>
                <w:color w:val="FF0000"/>
                <w:sz w:val="22"/>
                <w:highlight w:val="none"/>
              </w:rPr>
            </w:pPr>
            <w:r>
              <w:rPr>
                <w:rFonts w:hint="eastAsia" w:ascii="宋体" w:hAnsi="宋体" w:cs="宋体"/>
                <w:color w:val="FF0000"/>
                <w:sz w:val="22"/>
                <w:highlight w:val="none"/>
              </w:rPr>
              <w:t>关联关系类型</w:t>
            </w:r>
          </w:p>
        </w:tc>
        <w:tc>
          <w:tcPr>
            <w:tcW w:w="0" w:type="auto"/>
            <w:gridSpan w:val="2"/>
            <w:tcBorders>
              <w:bottom w:val="single" w:color="auto" w:sz="4" w:space="0"/>
            </w:tcBorders>
            <w:noWrap w:val="0"/>
            <w:vAlign w:val="center"/>
          </w:tcPr>
          <w:p w14:paraId="63BC4FC0">
            <w:pPr>
              <w:jc w:val="center"/>
              <w:rPr>
                <w:rFonts w:hint="eastAsia" w:ascii="宋体" w:hAnsi="宋体" w:cs="宋体"/>
                <w:color w:val="FF0000"/>
                <w:sz w:val="22"/>
                <w:highlight w:val="none"/>
              </w:rPr>
            </w:pPr>
            <w:r>
              <w:rPr>
                <w:rFonts w:hint="eastAsia" w:ascii="宋体" w:hAnsi="宋体" w:cs="宋体"/>
                <w:color w:val="FF0000"/>
                <w:sz w:val="22"/>
                <w:highlight w:val="none"/>
              </w:rPr>
              <w:t>关联主体名称</w:t>
            </w:r>
          </w:p>
        </w:tc>
        <w:tc>
          <w:tcPr>
            <w:tcW w:w="0" w:type="auto"/>
            <w:gridSpan w:val="3"/>
            <w:tcBorders>
              <w:bottom w:val="single" w:color="auto" w:sz="4" w:space="0"/>
            </w:tcBorders>
            <w:noWrap w:val="0"/>
            <w:vAlign w:val="center"/>
          </w:tcPr>
          <w:p w14:paraId="0C6EDD3E">
            <w:pPr>
              <w:jc w:val="center"/>
              <w:rPr>
                <w:rFonts w:hint="eastAsia" w:ascii="宋体" w:hAnsi="宋体" w:cs="宋体"/>
                <w:color w:val="FF0000"/>
                <w:sz w:val="22"/>
                <w:highlight w:val="none"/>
              </w:rPr>
            </w:pPr>
            <w:r>
              <w:rPr>
                <w:rFonts w:hint="eastAsia" w:ascii="宋体" w:hAnsi="宋体" w:cs="宋体"/>
                <w:color w:val="FF0000"/>
                <w:sz w:val="22"/>
                <w:highlight w:val="none"/>
              </w:rPr>
              <w:t>备注</w:t>
            </w:r>
          </w:p>
        </w:tc>
      </w:tr>
      <w:tr w14:paraId="4D5EC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single" w:color="auto" w:sz="4" w:space="0"/>
              <w:left w:val="single" w:color="auto" w:sz="4" w:space="0"/>
              <w:bottom w:val="single" w:color="auto" w:sz="4" w:space="0"/>
              <w:right w:val="single" w:color="auto" w:sz="4" w:space="0"/>
            </w:tcBorders>
            <w:noWrap w:val="0"/>
            <w:vAlign w:val="center"/>
          </w:tcPr>
          <w:p w14:paraId="4B1B23FB">
            <w:pPr>
              <w:jc w:val="center"/>
              <w:rPr>
                <w:rFonts w:hint="eastAsia" w:ascii="宋体" w:hAnsi="宋体" w:cs="宋体"/>
                <w:color w:val="FF0000"/>
                <w:sz w:val="22"/>
                <w:highlight w:val="none"/>
                <w:lang w:bidi="ar"/>
              </w:rPr>
            </w:pPr>
            <w:r>
              <w:rPr>
                <w:rFonts w:hint="eastAsia" w:ascii="宋体" w:hAnsi="宋体" w:cs="宋体"/>
                <w:color w:val="FF0000"/>
                <w:sz w:val="22"/>
                <w:highlight w:val="none"/>
                <w:lang w:bidi="ar"/>
              </w:rPr>
              <w:t>1</w:t>
            </w:r>
          </w:p>
        </w:tc>
        <w:tc>
          <w:tcPr>
            <w:tcW w:w="0" w:type="auto"/>
            <w:gridSpan w:val="2"/>
            <w:tcBorders>
              <w:top w:val="single" w:color="auto" w:sz="4" w:space="0"/>
              <w:left w:val="single" w:color="auto" w:sz="4" w:space="0"/>
              <w:bottom w:val="single" w:color="auto" w:sz="4" w:space="0"/>
              <w:right w:val="single" w:color="auto" w:sz="4" w:space="0"/>
            </w:tcBorders>
            <w:noWrap w:val="0"/>
            <w:vAlign w:val="center"/>
          </w:tcPr>
          <w:p w14:paraId="16C91715">
            <w:pPr>
              <w:jc w:val="center"/>
              <w:rPr>
                <w:rFonts w:hint="eastAsia" w:ascii="宋体" w:hAnsi="宋体" w:cs="宋体"/>
                <w:color w:val="FF0000"/>
                <w:sz w:val="22"/>
                <w:highlight w:val="none"/>
              </w:rPr>
            </w:pPr>
            <w:r>
              <w:rPr>
                <w:rFonts w:hint="eastAsia" w:ascii="宋体" w:hAnsi="宋体" w:cs="宋体"/>
                <w:color w:val="FF0000"/>
                <w:sz w:val="22"/>
                <w:highlight w:val="none"/>
              </w:rPr>
              <w:t>控股股东</w:t>
            </w:r>
          </w:p>
        </w:tc>
        <w:tc>
          <w:tcPr>
            <w:tcW w:w="0" w:type="auto"/>
            <w:gridSpan w:val="2"/>
            <w:tcBorders>
              <w:top w:val="single" w:color="auto" w:sz="4" w:space="0"/>
              <w:left w:val="single" w:color="auto" w:sz="4" w:space="0"/>
              <w:bottom w:val="single" w:color="auto" w:sz="4" w:space="0"/>
              <w:right w:val="single" w:color="auto" w:sz="4" w:space="0"/>
            </w:tcBorders>
            <w:noWrap w:val="0"/>
            <w:vAlign w:val="center"/>
          </w:tcPr>
          <w:p w14:paraId="189C4615">
            <w:pPr>
              <w:jc w:val="center"/>
              <w:rPr>
                <w:rFonts w:hint="eastAsia" w:ascii="宋体" w:hAnsi="宋体" w:cs="宋体"/>
                <w:color w:val="FF0000"/>
                <w:sz w:val="22"/>
                <w:highlight w:val="none"/>
              </w:rPr>
            </w:pPr>
          </w:p>
        </w:tc>
        <w:tc>
          <w:tcPr>
            <w:tcW w:w="0" w:type="auto"/>
            <w:gridSpan w:val="3"/>
            <w:tcBorders>
              <w:top w:val="single" w:color="auto" w:sz="4" w:space="0"/>
              <w:left w:val="single" w:color="auto" w:sz="4" w:space="0"/>
              <w:bottom w:val="single" w:color="auto" w:sz="4" w:space="0"/>
              <w:right w:val="single" w:color="auto" w:sz="4" w:space="0"/>
            </w:tcBorders>
            <w:noWrap w:val="0"/>
            <w:vAlign w:val="center"/>
          </w:tcPr>
          <w:p w14:paraId="690C4268">
            <w:pPr>
              <w:snapToGrid w:val="0"/>
              <w:jc w:val="left"/>
              <w:rPr>
                <w:rFonts w:hint="eastAsia" w:ascii="宋体" w:hAnsi="宋体" w:cs="宋体"/>
                <w:color w:val="FF0000"/>
                <w:sz w:val="22"/>
                <w:highlight w:val="none"/>
              </w:rPr>
            </w:pPr>
            <w:r>
              <w:rPr>
                <w:rFonts w:hint="eastAsia" w:ascii="宋体" w:hAnsi="宋体" w:cs="宋体"/>
                <w:color w:val="FF0000"/>
                <w:sz w:val="22"/>
                <w:highlight w:val="none"/>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14:paraId="7884A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single" w:color="auto" w:sz="4" w:space="0"/>
              <w:left w:val="single" w:color="auto" w:sz="4" w:space="0"/>
              <w:bottom w:val="single" w:color="auto" w:sz="4" w:space="0"/>
              <w:right w:val="single" w:color="auto" w:sz="4" w:space="0"/>
            </w:tcBorders>
            <w:noWrap w:val="0"/>
            <w:vAlign w:val="center"/>
          </w:tcPr>
          <w:p w14:paraId="12469826">
            <w:pPr>
              <w:jc w:val="center"/>
              <w:rPr>
                <w:rFonts w:hint="eastAsia" w:ascii="宋体" w:hAnsi="宋体" w:cs="宋体"/>
                <w:color w:val="FF0000"/>
                <w:sz w:val="22"/>
                <w:highlight w:val="none"/>
                <w:lang w:bidi="ar"/>
              </w:rPr>
            </w:pPr>
            <w:r>
              <w:rPr>
                <w:rFonts w:hint="eastAsia" w:ascii="宋体" w:hAnsi="宋体" w:cs="宋体"/>
                <w:color w:val="FF0000"/>
                <w:sz w:val="22"/>
                <w:highlight w:val="none"/>
                <w:lang w:bidi="ar"/>
              </w:rPr>
              <w:t>2</w:t>
            </w:r>
          </w:p>
        </w:tc>
        <w:tc>
          <w:tcPr>
            <w:tcW w:w="0" w:type="auto"/>
            <w:gridSpan w:val="2"/>
            <w:tcBorders>
              <w:top w:val="single" w:color="auto" w:sz="4" w:space="0"/>
              <w:left w:val="single" w:color="auto" w:sz="4" w:space="0"/>
              <w:bottom w:val="single" w:color="auto" w:sz="4" w:space="0"/>
              <w:right w:val="single" w:color="auto" w:sz="4" w:space="0"/>
            </w:tcBorders>
            <w:noWrap w:val="0"/>
            <w:vAlign w:val="center"/>
          </w:tcPr>
          <w:p w14:paraId="531C62A1">
            <w:pPr>
              <w:jc w:val="center"/>
              <w:rPr>
                <w:rFonts w:hint="eastAsia" w:ascii="宋体" w:hAnsi="宋体" w:cs="宋体"/>
                <w:color w:val="FF0000"/>
                <w:sz w:val="22"/>
                <w:highlight w:val="none"/>
              </w:rPr>
            </w:pPr>
            <w:r>
              <w:rPr>
                <w:rFonts w:hint="eastAsia" w:ascii="宋体" w:hAnsi="宋体" w:cs="宋体"/>
                <w:color w:val="FF0000"/>
                <w:sz w:val="22"/>
                <w:highlight w:val="none"/>
              </w:rPr>
              <w:t>管理关系</w:t>
            </w:r>
          </w:p>
        </w:tc>
        <w:tc>
          <w:tcPr>
            <w:tcW w:w="0" w:type="auto"/>
            <w:gridSpan w:val="2"/>
            <w:tcBorders>
              <w:top w:val="single" w:color="auto" w:sz="4" w:space="0"/>
              <w:left w:val="single" w:color="auto" w:sz="4" w:space="0"/>
              <w:bottom w:val="single" w:color="auto" w:sz="4" w:space="0"/>
              <w:right w:val="single" w:color="auto" w:sz="4" w:space="0"/>
            </w:tcBorders>
            <w:noWrap w:val="0"/>
            <w:vAlign w:val="center"/>
          </w:tcPr>
          <w:p w14:paraId="3B00BA02">
            <w:pPr>
              <w:jc w:val="center"/>
              <w:rPr>
                <w:rFonts w:hint="eastAsia" w:ascii="宋体" w:hAnsi="宋体" w:cs="宋体"/>
                <w:color w:val="FF0000"/>
                <w:sz w:val="22"/>
                <w:highlight w:val="none"/>
              </w:rPr>
            </w:pPr>
          </w:p>
        </w:tc>
        <w:tc>
          <w:tcPr>
            <w:tcW w:w="0" w:type="auto"/>
            <w:gridSpan w:val="3"/>
            <w:tcBorders>
              <w:top w:val="single" w:color="auto" w:sz="4" w:space="0"/>
              <w:left w:val="single" w:color="auto" w:sz="4" w:space="0"/>
              <w:bottom w:val="single" w:color="auto" w:sz="4" w:space="0"/>
              <w:right w:val="single" w:color="auto" w:sz="4" w:space="0"/>
            </w:tcBorders>
            <w:noWrap w:val="0"/>
            <w:vAlign w:val="center"/>
          </w:tcPr>
          <w:p w14:paraId="2140A07C">
            <w:pPr>
              <w:snapToGrid w:val="0"/>
              <w:jc w:val="left"/>
              <w:rPr>
                <w:rFonts w:hint="eastAsia" w:ascii="宋体" w:hAnsi="宋体" w:cs="宋体"/>
                <w:color w:val="FF0000"/>
                <w:sz w:val="22"/>
                <w:highlight w:val="none"/>
              </w:rPr>
            </w:pPr>
            <w:r>
              <w:rPr>
                <w:rFonts w:hint="eastAsia" w:ascii="宋体" w:hAnsi="宋体" w:cs="宋体"/>
                <w:color w:val="FF0000"/>
                <w:sz w:val="22"/>
                <w:highlight w:val="none"/>
              </w:rPr>
              <w:t>指对投标（响应）供应商不具有出资持股关系，但对其存在管理关系的主体。</w:t>
            </w:r>
          </w:p>
        </w:tc>
      </w:tr>
      <w:tr w14:paraId="3643F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gridSpan w:val="8"/>
            <w:tcBorders>
              <w:top w:val="single" w:color="auto" w:sz="4" w:space="0"/>
              <w:left w:val="single" w:color="auto" w:sz="4" w:space="0"/>
              <w:bottom w:val="single" w:color="auto" w:sz="4" w:space="0"/>
              <w:right w:val="single" w:color="auto" w:sz="4" w:space="0"/>
            </w:tcBorders>
            <w:noWrap w:val="0"/>
            <w:vAlign w:val="center"/>
          </w:tcPr>
          <w:p w14:paraId="7A4B4576">
            <w:pPr>
              <w:snapToGrid w:val="0"/>
              <w:jc w:val="left"/>
              <w:rPr>
                <w:rFonts w:hint="eastAsia" w:ascii="宋体" w:hAnsi="宋体" w:cs="宋体"/>
                <w:color w:val="FF0000"/>
                <w:sz w:val="22"/>
                <w:highlight w:val="none"/>
              </w:rPr>
            </w:pPr>
            <w:r>
              <w:rPr>
                <w:rFonts w:hint="eastAsia" w:ascii="宋体" w:hAnsi="宋体" w:cs="宋体"/>
                <w:b/>
                <w:bCs/>
                <w:color w:val="FF0000"/>
                <w:sz w:val="22"/>
                <w:highlight w:val="none"/>
              </w:rPr>
              <w:t>说明：同一关联关系类型有多个主体的，应分行填写。</w:t>
            </w:r>
          </w:p>
        </w:tc>
      </w:tr>
    </w:tbl>
    <w:p w14:paraId="5E07FAC5">
      <w:pPr>
        <w:rPr>
          <w:rFonts w:ascii="宋体" w:hAnsi="宋体" w:cs="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br w:type="page"/>
      </w:r>
    </w:p>
    <w:p w14:paraId="5262712A">
      <w:pPr>
        <w:ind w:left="420"/>
        <w:jc w:val="center"/>
        <w:outlineLvl w:val="3"/>
        <w:rPr>
          <w:rFonts w:ascii="宋体" w:hAnsi="宋体" w:cs="宋体"/>
          <w:b/>
          <w:bCs/>
          <w:color w:val="000000" w:themeColor="text1"/>
          <w:sz w:val="32"/>
          <w:szCs w:val="32"/>
          <w:highlight w:val="none"/>
          <w14:textFill>
            <w14:solidFill>
              <w14:schemeClr w14:val="tx1"/>
            </w14:solidFill>
          </w14:textFill>
        </w:rPr>
      </w:pPr>
      <w:r>
        <w:rPr>
          <w:rFonts w:hint="eastAsia" w:ascii="宋体" w:hAnsi="宋体" w:cs="宋体"/>
          <w:b/>
          <w:bCs/>
          <w:color w:val="000000" w:themeColor="text1"/>
          <w:sz w:val="32"/>
          <w:szCs w:val="32"/>
          <w:highlight w:val="none"/>
          <w:lang w:val="en-US" w:eastAsia="zh-CN"/>
          <w14:textFill>
            <w14:solidFill>
              <w14:schemeClr w14:val="tx1"/>
            </w14:solidFill>
          </w14:textFill>
        </w:rPr>
        <w:t>九、</w:t>
      </w:r>
      <w:r>
        <w:rPr>
          <w:rFonts w:hint="eastAsia" w:ascii="宋体" w:hAnsi="宋体" w:cs="宋体"/>
          <w:b/>
          <w:bCs/>
          <w:color w:val="000000" w:themeColor="text1"/>
          <w:sz w:val="32"/>
          <w:szCs w:val="32"/>
          <w:highlight w:val="none"/>
          <w14:textFill>
            <w14:solidFill>
              <w14:schemeClr w14:val="tx1"/>
            </w14:solidFill>
          </w14:textFill>
        </w:rPr>
        <w:t>招标代理服务费承诺函</w:t>
      </w:r>
    </w:p>
    <w:p w14:paraId="0983DC9D">
      <w:pPr>
        <w:spacing w:line="360" w:lineRule="auto"/>
        <w:rPr>
          <w:rFonts w:ascii="宋体" w:hAnsi="宋体" w:cs="宋体"/>
          <w:color w:val="000000" w:themeColor="text1"/>
          <w:sz w:val="24"/>
          <w:highlight w:val="none"/>
          <w14:textFill>
            <w14:solidFill>
              <w14:schemeClr w14:val="tx1"/>
            </w14:solidFill>
          </w14:textFill>
        </w:rPr>
      </w:pPr>
    </w:p>
    <w:p w14:paraId="476AD432">
      <w:pPr>
        <w:spacing w:line="360" w:lineRule="auto"/>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致：深圳市东海国际招标有限公司</w:t>
      </w:r>
    </w:p>
    <w:p w14:paraId="122674FE">
      <w:pPr>
        <w:widowControl/>
        <w:autoSpaceDE w:val="0"/>
        <w:autoSpaceDN w:val="0"/>
        <w:spacing w:line="360" w:lineRule="auto"/>
        <w:ind w:right="17" w:firstLine="440" w:firstLineChars="200"/>
        <w:textAlignment w:val="bottom"/>
        <w:rPr>
          <w:rFonts w:ascii="宋体" w:hAnsi="宋体" w:cs="宋体"/>
          <w:color w:val="000000" w:themeColor="text1"/>
          <w:sz w:val="22"/>
          <w:szCs w:val="22"/>
          <w:highlight w:val="none"/>
          <w14:textFill>
            <w14:solidFill>
              <w14:schemeClr w14:val="tx1"/>
            </w14:solidFill>
          </w14:textFill>
        </w:rPr>
      </w:pPr>
    </w:p>
    <w:p w14:paraId="6B23F9C1">
      <w:pPr>
        <w:pStyle w:val="22"/>
        <w:spacing w:line="360" w:lineRule="auto"/>
        <w:ind w:left="0" w:leftChars="0" w:firstLine="415" w:firstLineChars="189"/>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我们在贵司代理的项目（设备）</w:t>
      </w:r>
      <w:r>
        <w:rPr>
          <w:rFonts w:hint="eastAsia" w:ascii="宋体" w:hAnsi="宋体" w:cs="宋体"/>
          <w:color w:val="000000" w:themeColor="text1"/>
          <w:sz w:val="22"/>
          <w:szCs w:val="22"/>
          <w:highlight w:val="none"/>
          <w:u w:val="single"/>
          <w:lang w:val="en-US" w:eastAsia="zh-CN"/>
          <w14:textFill>
            <w14:solidFill>
              <w14:schemeClr w14:val="tx1"/>
            </w14:solidFill>
          </w14:textFill>
        </w:rPr>
        <w:t xml:space="preserve">              </w:t>
      </w:r>
      <w:r>
        <w:rPr>
          <w:rFonts w:hint="eastAsia" w:ascii="宋体" w:hAnsi="宋体" w:cs="宋体"/>
          <w:color w:val="000000" w:themeColor="text1"/>
          <w:sz w:val="22"/>
          <w:szCs w:val="22"/>
          <w:highlight w:val="none"/>
          <w14:textFill>
            <w14:solidFill>
              <w14:schemeClr w14:val="tx1"/>
            </w14:solidFill>
          </w14:textFill>
        </w:rPr>
        <w:t>招标中若获中标（项目编号：</w:t>
      </w:r>
      <w:r>
        <w:rPr>
          <w:rFonts w:hint="eastAsia" w:ascii="宋体" w:hAnsi="宋体" w:cs="宋体"/>
          <w:color w:val="000000" w:themeColor="text1"/>
          <w:sz w:val="22"/>
          <w:szCs w:val="22"/>
          <w:highlight w:val="none"/>
          <w:u w:val="single"/>
          <w:lang w:val="en-US" w:eastAsia="zh-CN"/>
          <w14:textFill>
            <w14:solidFill>
              <w14:schemeClr w14:val="tx1"/>
            </w14:solidFill>
          </w14:textFill>
        </w:rPr>
        <w:t xml:space="preserve">                   </w:t>
      </w:r>
      <w:r>
        <w:rPr>
          <w:rFonts w:hint="eastAsia" w:ascii="宋体" w:hAnsi="宋体" w:cs="宋体"/>
          <w:color w:val="000000" w:themeColor="text1"/>
          <w:sz w:val="22"/>
          <w:szCs w:val="22"/>
          <w:highlight w:val="none"/>
          <w14:textFill>
            <w14:solidFill>
              <w14:schemeClr w14:val="tx1"/>
            </w14:solidFill>
          </w14:textFill>
        </w:rPr>
        <w:t>），我们保证在收到中标通知书原件的同时按招标文件的规定，以转账、支票、汇票、电汇、现金或经贵公司认可的一种方式，向贵公司即深圳市东海国际招标有限公司指定的银行账号，一次性支付招标代理服务费，招标代理服务费依据深财购[2018]27号文及相关规定收费。</w:t>
      </w:r>
    </w:p>
    <w:p w14:paraId="65DD2903">
      <w:pPr>
        <w:widowControl/>
        <w:autoSpaceDE w:val="0"/>
        <w:autoSpaceDN w:val="0"/>
        <w:spacing w:line="360" w:lineRule="auto"/>
        <w:ind w:right="893"/>
        <w:textAlignment w:val="bottom"/>
        <w:rPr>
          <w:rFonts w:ascii="宋体" w:hAnsi="宋体" w:cs="宋体"/>
          <w:color w:val="000000" w:themeColor="text1"/>
          <w:sz w:val="22"/>
          <w:szCs w:val="22"/>
          <w:highlight w:val="none"/>
          <w14:textFill>
            <w14:solidFill>
              <w14:schemeClr w14:val="tx1"/>
            </w14:solidFill>
          </w14:textFill>
        </w:rPr>
      </w:pPr>
    </w:p>
    <w:p w14:paraId="2A44108C">
      <w:pPr>
        <w:widowControl/>
        <w:autoSpaceDE w:val="0"/>
        <w:autoSpaceDN w:val="0"/>
        <w:spacing w:line="360" w:lineRule="auto"/>
        <w:ind w:right="893"/>
        <w:textAlignment w:val="bottom"/>
        <w:rPr>
          <w:rFonts w:ascii="宋体" w:hAnsi="宋体" w:cs="宋体"/>
          <w:color w:val="000000" w:themeColor="text1"/>
          <w:sz w:val="22"/>
          <w:szCs w:val="22"/>
          <w:highlight w:val="none"/>
          <w14:textFill>
            <w14:solidFill>
              <w14:schemeClr w14:val="tx1"/>
            </w14:solidFill>
          </w14:textFill>
        </w:rPr>
      </w:pPr>
    </w:p>
    <w:p w14:paraId="62639D44">
      <w:pPr>
        <w:widowControl/>
        <w:autoSpaceDE w:val="0"/>
        <w:autoSpaceDN w:val="0"/>
        <w:spacing w:line="360" w:lineRule="auto"/>
        <w:ind w:right="893" w:firstLine="440" w:firstLineChars="200"/>
        <w:textAlignment w:val="bottom"/>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特此承诺。</w:t>
      </w:r>
    </w:p>
    <w:p w14:paraId="3F88F111">
      <w:pPr>
        <w:widowControl/>
        <w:autoSpaceDE w:val="0"/>
        <w:autoSpaceDN w:val="0"/>
        <w:spacing w:line="360" w:lineRule="auto"/>
        <w:ind w:right="893"/>
        <w:textAlignment w:val="bottom"/>
        <w:rPr>
          <w:rFonts w:ascii="宋体" w:hAnsi="宋体" w:cs="宋体"/>
          <w:color w:val="000000" w:themeColor="text1"/>
          <w:sz w:val="22"/>
          <w:szCs w:val="22"/>
          <w:highlight w:val="none"/>
          <w14:textFill>
            <w14:solidFill>
              <w14:schemeClr w14:val="tx1"/>
            </w14:solidFill>
          </w14:textFill>
        </w:rPr>
      </w:pPr>
    </w:p>
    <w:p w14:paraId="62D1F34E">
      <w:pPr>
        <w:widowControl/>
        <w:autoSpaceDE w:val="0"/>
        <w:autoSpaceDN w:val="0"/>
        <w:spacing w:line="360" w:lineRule="auto"/>
        <w:ind w:right="893"/>
        <w:textAlignment w:val="bottom"/>
        <w:rPr>
          <w:rFonts w:ascii="宋体" w:hAnsi="宋体" w:cs="宋体"/>
          <w:color w:val="000000" w:themeColor="text1"/>
          <w:sz w:val="22"/>
          <w:szCs w:val="22"/>
          <w:highlight w:val="none"/>
          <w14:textFill>
            <w14:solidFill>
              <w14:schemeClr w14:val="tx1"/>
            </w14:solidFill>
          </w14:textFill>
        </w:rPr>
      </w:pPr>
    </w:p>
    <w:p w14:paraId="1EE3A1C6">
      <w:pPr>
        <w:spacing w:line="360" w:lineRule="auto"/>
        <w:rPr>
          <w:rFonts w:ascii="宋体" w:hAnsi="宋体" w:cs="宋体"/>
          <w:color w:val="000000" w:themeColor="text1"/>
          <w:sz w:val="22"/>
          <w:szCs w:val="22"/>
          <w:highlight w:val="none"/>
          <w14:textFill>
            <w14:solidFill>
              <w14:schemeClr w14:val="tx1"/>
            </w14:solidFill>
          </w14:textFill>
        </w:rPr>
      </w:pPr>
    </w:p>
    <w:p w14:paraId="0F07582D">
      <w:pPr>
        <w:spacing w:line="360" w:lineRule="auto"/>
        <w:ind w:right="440"/>
        <w:jc w:val="right"/>
        <w:rPr>
          <w:rFonts w:ascii="宋体" w:hAnsi="宋体" w:cs="宋体"/>
          <w:bCs/>
          <w:color w:val="000000" w:themeColor="text1"/>
          <w:sz w:val="22"/>
          <w:szCs w:val="22"/>
          <w:highlight w:val="none"/>
          <w14:textFill>
            <w14:solidFill>
              <w14:schemeClr w14:val="tx1"/>
            </w14:solidFill>
          </w14:textFill>
        </w:rPr>
      </w:pPr>
      <w:r>
        <w:rPr>
          <w:rFonts w:hint="eastAsia" w:ascii="宋体" w:hAnsi="宋体" w:cs="宋体"/>
          <w:bCs/>
          <w:color w:val="000000" w:themeColor="text1"/>
          <w:sz w:val="22"/>
          <w:szCs w:val="22"/>
          <w:highlight w:val="none"/>
          <w14:textFill>
            <w14:solidFill>
              <w14:schemeClr w14:val="tx1"/>
            </w14:solidFill>
          </w14:textFill>
        </w:rPr>
        <w:t>投标人（公章）：</w:t>
      </w:r>
    </w:p>
    <w:p w14:paraId="0CE2ECBD">
      <w:pPr>
        <w:spacing w:line="360" w:lineRule="auto"/>
        <w:jc w:val="center"/>
        <w:rPr>
          <w:rFonts w:ascii="宋体" w:hAnsi="宋体" w:cs="宋体"/>
          <w:bCs/>
          <w:color w:val="000000" w:themeColor="text1"/>
          <w:sz w:val="22"/>
          <w:szCs w:val="22"/>
          <w:highlight w:val="none"/>
          <w14:textFill>
            <w14:solidFill>
              <w14:schemeClr w14:val="tx1"/>
            </w14:solidFill>
          </w14:textFill>
        </w:rPr>
      </w:pPr>
      <w:r>
        <w:rPr>
          <w:rFonts w:hint="eastAsia" w:ascii="宋体" w:hAnsi="宋体" w:cs="宋体"/>
          <w:bCs/>
          <w:color w:val="000000" w:themeColor="text1"/>
          <w:sz w:val="22"/>
          <w:szCs w:val="22"/>
          <w:highlight w:val="none"/>
          <w14:textFill>
            <w14:solidFill>
              <w14:schemeClr w14:val="tx1"/>
            </w14:solidFill>
          </w14:textFill>
        </w:rPr>
        <w:t xml:space="preserve">                                                      日期：   年  月  日</w:t>
      </w:r>
    </w:p>
    <w:p w14:paraId="2A75041C">
      <w:pPr>
        <w:spacing w:line="360" w:lineRule="auto"/>
        <w:rPr>
          <w:rFonts w:ascii="宋体" w:hAnsi="宋体" w:cs="宋体"/>
          <w:color w:val="000000" w:themeColor="text1"/>
          <w:sz w:val="22"/>
          <w:szCs w:val="22"/>
          <w:highlight w:val="none"/>
          <w14:textFill>
            <w14:solidFill>
              <w14:schemeClr w14:val="tx1"/>
            </w14:solidFill>
          </w14:textFill>
        </w:rPr>
      </w:pPr>
    </w:p>
    <w:p w14:paraId="658D3259">
      <w:pPr>
        <w:widowControl/>
        <w:autoSpaceDE w:val="0"/>
        <w:autoSpaceDN w:val="0"/>
        <w:spacing w:line="360" w:lineRule="auto"/>
        <w:ind w:right="893" w:firstLine="440" w:firstLineChars="200"/>
        <w:textAlignment w:val="bottom"/>
        <w:rPr>
          <w:rFonts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(注：按要求填写，不得更改承诺内容)</w:t>
      </w:r>
      <w:r>
        <w:rPr>
          <w:rFonts w:hint="eastAsia" w:ascii="宋体" w:hAnsi="宋体" w:cs="宋体"/>
          <w:color w:val="000000" w:themeColor="text1"/>
          <w:sz w:val="22"/>
          <w:highlight w:val="none"/>
          <w14:textFill>
            <w14:solidFill>
              <w14:schemeClr w14:val="tx1"/>
            </w14:solidFill>
          </w14:textFill>
        </w:rPr>
        <w:br w:type="page"/>
      </w:r>
    </w:p>
    <w:p w14:paraId="13A8C3CF">
      <w:pPr>
        <w:ind w:left="420"/>
        <w:jc w:val="center"/>
        <w:outlineLvl w:val="3"/>
        <w:rPr>
          <w:b/>
          <w:bCs/>
          <w:color w:val="000000" w:themeColor="text1"/>
          <w:kern w:val="0"/>
          <w:sz w:val="28"/>
          <w:szCs w:val="32"/>
          <w:highlight w:val="none"/>
          <w14:textFill>
            <w14:solidFill>
              <w14:schemeClr w14:val="tx1"/>
            </w14:solidFill>
          </w14:textFill>
        </w:rPr>
      </w:pPr>
      <w:r>
        <w:rPr>
          <w:rFonts w:hint="eastAsia"/>
          <w:b/>
          <w:bCs/>
          <w:color w:val="000000" w:themeColor="text1"/>
          <w:kern w:val="0"/>
          <w:sz w:val="32"/>
          <w:szCs w:val="32"/>
          <w:highlight w:val="none"/>
          <w:lang w:val="en-US" w:eastAsia="zh-CN"/>
          <w14:textFill>
            <w14:solidFill>
              <w14:schemeClr w14:val="tx1"/>
            </w14:solidFill>
          </w14:textFill>
        </w:rPr>
        <w:t>十</w:t>
      </w:r>
      <w:r>
        <w:rPr>
          <w:rFonts w:hint="eastAsia"/>
          <w:b/>
          <w:bCs/>
          <w:color w:val="000000" w:themeColor="text1"/>
          <w:kern w:val="0"/>
          <w:sz w:val="32"/>
          <w:szCs w:val="32"/>
          <w:highlight w:val="none"/>
          <w14:textFill>
            <w14:solidFill>
              <w14:schemeClr w14:val="tx1"/>
            </w14:solidFill>
          </w14:textFill>
        </w:rPr>
        <w:t>、报价清单表</w:t>
      </w:r>
    </w:p>
    <w:p w14:paraId="65D57E4A">
      <w:pPr>
        <w:rPr>
          <w:color w:val="000000" w:themeColor="text1"/>
          <w:highlight w:val="none"/>
          <w14:textFill>
            <w14:solidFill>
              <w14:schemeClr w14:val="tx1"/>
            </w14:solidFill>
          </w14:textFill>
        </w:rPr>
      </w:pPr>
    </w:p>
    <w:p w14:paraId="74573011">
      <w:pPr>
        <w:rPr>
          <w:color w:val="000000" w:themeColor="text1"/>
          <w:highlight w:val="none"/>
          <w14:textFill>
            <w14:solidFill>
              <w14:schemeClr w14:val="tx1"/>
            </w14:solidFill>
          </w14:textFill>
        </w:rPr>
      </w:pPr>
    </w:p>
    <w:p w14:paraId="489B2775">
      <w:pPr>
        <w:numPr>
          <w:ilvl w:val="0"/>
          <w:numId w:val="0"/>
        </w:numPr>
        <w:ind w:left="0" w:leftChars="0" w:firstLine="420" w:firstLineChars="0"/>
        <w:jc w:val="center"/>
        <w:rPr>
          <w:highlight w:val="none"/>
        </w:rPr>
      </w:pPr>
      <w:r>
        <w:rPr>
          <w:rFonts w:hint="eastAsia" w:ascii="宋体" w:hAnsi="宋体" w:eastAsia="宋体" w:cs="宋体"/>
          <w:bCs/>
          <w:sz w:val="32"/>
          <w:szCs w:val="32"/>
          <w:highlight w:val="none"/>
          <w:lang w:val="en-US" w:eastAsia="zh-CN"/>
        </w:rPr>
        <w:t>（一）</w:t>
      </w:r>
      <w:r>
        <w:rPr>
          <w:rFonts w:hint="eastAsia" w:ascii="宋体" w:hAnsi="宋体" w:eastAsia="宋体" w:cs="宋体"/>
          <w:bCs/>
          <w:sz w:val="32"/>
          <w:szCs w:val="32"/>
          <w:highlight w:val="none"/>
        </w:rPr>
        <w:t>开标一览表</w:t>
      </w:r>
    </w:p>
    <w:tbl>
      <w:tblPr>
        <w:tblStyle w:val="23"/>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66"/>
        <w:gridCol w:w="1929"/>
        <w:gridCol w:w="2532"/>
      </w:tblGrid>
      <w:tr w14:paraId="73836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1029" w:type="pct"/>
            <w:vAlign w:val="center"/>
          </w:tcPr>
          <w:p w14:paraId="3E231039">
            <w:pPr>
              <w:spacing w:line="360" w:lineRule="exact"/>
              <w:jc w:val="center"/>
              <w:rPr>
                <w:snapToGrid w:val="0"/>
                <w:color w:val="000000" w:themeColor="text1"/>
                <w:kern w:val="0"/>
                <w:sz w:val="22"/>
                <w:highlight w:val="none"/>
                <w14:textFill>
                  <w14:solidFill>
                    <w14:schemeClr w14:val="tx1"/>
                  </w14:solidFill>
                </w14:textFill>
              </w:rPr>
            </w:pPr>
            <w:r>
              <w:rPr>
                <w:bCs/>
                <w:snapToGrid w:val="0"/>
                <w:color w:val="000000" w:themeColor="text1"/>
                <w:kern w:val="0"/>
                <w:sz w:val="22"/>
                <w:highlight w:val="none"/>
                <w14:textFill>
                  <w14:solidFill>
                    <w14:schemeClr w14:val="tx1"/>
                  </w14:solidFill>
                </w14:textFill>
              </w:rPr>
              <w:t>项目编号</w:t>
            </w:r>
          </w:p>
        </w:tc>
        <w:tc>
          <w:tcPr>
            <w:tcW w:w="1809" w:type="pct"/>
            <w:vAlign w:val="center"/>
          </w:tcPr>
          <w:p w14:paraId="4FFB4CD3">
            <w:pPr>
              <w:spacing w:line="360" w:lineRule="exact"/>
              <w:jc w:val="center"/>
              <w:rPr>
                <w:snapToGrid w:val="0"/>
                <w:color w:val="000000" w:themeColor="text1"/>
                <w:kern w:val="0"/>
                <w:sz w:val="22"/>
                <w:highlight w:val="none"/>
                <w14:textFill>
                  <w14:solidFill>
                    <w14:schemeClr w14:val="tx1"/>
                  </w14:solidFill>
                </w14:textFill>
              </w:rPr>
            </w:pPr>
            <w:r>
              <w:rPr>
                <w:snapToGrid w:val="0"/>
                <w:color w:val="000000" w:themeColor="text1"/>
                <w:kern w:val="0"/>
                <w:sz w:val="22"/>
                <w:highlight w:val="none"/>
                <w14:textFill>
                  <w14:solidFill>
                    <w14:schemeClr w14:val="tx1"/>
                  </w14:solidFill>
                </w14:textFill>
              </w:rPr>
              <w:t>项目名称</w:t>
            </w:r>
          </w:p>
        </w:tc>
        <w:tc>
          <w:tcPr>
            <w:tcW w:w="3892" w:type="dxa"/>
            <w:vAlign w:val="center"/>
          </w:tcPr>
          <w:p w14:paraId="3682CE21">
            <w:pPr>
              <w:spacing w:line="360" w:lineRule="exact"/>
              <w:jc w:val="center"/>
              <w:rPr>
                <w:snapToGrid w:val="0"/>
                <w:color w:val="000000" w:themeColor="text1"/>
                <w:kern w:val="0"/>
                <w:sz w:val="22"/>
                <w:highlight w:val="none"/>
                <w14:textFill>
                  <w14:solidFill>
                    <w14:schemeClr w14:val="tx1"/>
                  </w14:solidFill>
                </w14:textFill>
              </w:rPr>
            </w:pPr>
            <w:r>
              <w:rPr>
                <w:rFonts w:hint="eastAsia" w:ascii="宋体" w:hAnsi="宋体" w:cs="宋体"/>
                <w:snapToGrid w:val="0"/>
                <w:color w:val="000000" w:themeColor="text1"/>
                <w:kern w:val="0"/>
                <w:sz w:val="22"/>
                <w:szCs w:val="22"/>
                <w:highlight w:val="none"/>
                <w14:textFill>
                  <w14:solidFill>
                    <w14:schemeClr w14:val="tx1"/>
                  </w14:solidFill>
                </w14:textFill>
              </w:rPr>
              <w:t>投标报价（元）</w:t>
            </w:r>
          </w:p>
        </w:tc>
      </w:tr>
      <w:tr w14:paraId="733AF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8" w:hRule="atLeast"/>
          <w:jc w:val="center"/>
        </w:trPr>
        <w:tc>
          <w:tcPr>
            <w:tcW w:w="1029" w:type="pct"/>
            <w:vAlign w:val="center"/>
          </w:tcPr>
          <w:p w14:paraId="70CCEB6E">
            <w:pPr>
              <w:spacing w:line="360" w:lineRule="exact"/>
              <w:jc w:val="center"/>
              <w:rPr>
                <w:rFonts w:hint="eastAsia" w:eastAsia="宋体"/>
                <w:snapToGrid w:val="0"/>
                <w:color w:val="000000" w:themeColor="text1"/>
                <w:kern w:val="0"/>
                <w:sz w:val="22"/>
                <w:highlight w:val="none"/>
                <w:lang w:eastAsia="zh-CN"/>
                <w14:textFill>
                  <w14:solidFill>
                    <w14:schemeClr w14:val="tx1"/>
                  </w14:solidFill>
                </w14:textFill>
              </w:rPr>
            </w:pPr>
            <w:r>
              <w:rPr>
                <w:rFonts w:hint="eastAsia" w:ascii="宋体" w:hAnsi="宋体" w:cs="宋体"/>
                <w:snapToGrid w:val="0"/>
                <w:color w:val="000000" w:themeColor="text1"/>
                <w:kern w:val="0"/>
                <w:sz w:val="22"/>
                <w:szCs w:val="22"/>
                <w:highlight w:val="none"/>
                <w:lang w:eastAsia="zh-CN"/>
                <w14:textFill>
                  <w14:solidFill>
                    <w14:schemeClr w14:val="tx1"/>
                  </w14:solidFill>
                </w14:textFill>
              </w:rPr>
              <w:t>3324-DH2532F4114(BAZXDL-2025-00411)</w:t>
            </w:r>
          </w:p>
        </w:tc>
        <w:tc>
          <w:tcPr>
            <w:tcW w:w="1809" w:type="pct"/>
            <w:vAlign w:val="center"/>
          </w:tcPr>
          <w:p w14:paraId="75FE2458">
            <w:pPr>
              <w:widowControl/>
              <w:spacing w:line="360" w:lineRule="exact"/>
              <w:jc w:val="center"/>
              <w:rPr>
                <w:color w:val="000000" w:themeColor="text1"/>
                <w:kern w:val="0"/>
                <w:sz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食堂管理服务项目</w:t>
            </w:r>
          </w:p>
        </w:tc>
        <w:tc>
          <w:tcPr>
            <w:tcW w:w="3892" w:type="dxa"/>
            <w:vAlign w:val="center"/>
          </w:tcPr>
          <w:p w14:paraId="0670AF75">
            <w:pPr>
              <w:spacing w:line="360" w:lineRule="exact"/>
              <w:rPr>
                <w:snapToGrid w:val="0"/>
                <w:color w:val="000000" w:themeColor="text1"/>
                <w:kern w:val="0"/>
                <w:sz w:val="22"/>
                <w:highlight w:val="none"/>
                <w14:textFill>
                  <w14:solidFill>
                    <w14:schemeClr w14:val="tx1"/>
                  </w14:solidFill>
                </w14:textFill>
              </w:rPr>
            </w:pPr>
            <w:r>
              <w:rPr>
                <w:snapToGrid w:val="0"/>
                <w:color w:val="000000" w:themeColor="text1"/>
                <w:kern w:val="0"/>
                <w:sz w:val="22"/>
                <w:highlight w:val="none"/>
                <w14:textFill>
                  <w14:solidFill>
                    <w14:schemeClr w14:val="tx1"/>
                  </w14:solidFill>
                </w14:textFill>
              </w:rPr>
              <w:t>大写：</w:t>
            </w:r>
          </w:p>
          <w:p w14:paraId="07771C5D">
            <w:pPr>
              <w:spacing w:line="360" w:lineRule="exact"/>
              <w:rPr>
                <w:snapToGrid w:val="0"/>
                <w:color w:val="000000" w:themeColor="text1"/>
                <w:kern w:val="0"/>
                <w:sz w:val="22"/>
                <w:highlight w:val="none"/>
                <w14:textFill>
                  <w14:solidFill>
                    <w14:schemeClr w14:val="tx1"/>
                  </w14:solidFill>
                </w14:textFill>
              </w:rPr>
            </w:pPr>
            <w:r>
              <w:rPr>
                <w:snapToGrid w:val="0"/>
                <w:color w:val="000000" w:themeColor="text1"/>
                <w:kern w:val="0"/>
                <w:sz w:val="22"/>
                <w:highlight w:val="none"/>
                <w14:textFill>
                  <w14:solidFill>
                    <w14:schemeClr w14:val="tx1"/>
                  </w14:solidFill>
                </w14:textFill>
              </w:rPr>
              <w:t>小写：</w:t>
            </w:r>
          </w:p>
        </w:tc>
      </w:tr>
    </w:tbl>
    <w:p w14:paraId="1A0BAF8C">
      <w:pPr>
        <w:spacing w:line="360" w:lineRule="exact"/>
        <w:rPr>
          <w:snapToGrid w:val="0"/>
          <w:color w:val="000000" w:themeColor="text1"/>
          <w:kern w:val="0"/>
          <w:sz w:val="22"/>
          <w:highlight w:val="none"/>
          <w14:textFill>
            <w14:solidFill>
              <w14:schemeClr w14:val="tx1"/>
            </w14:solidFill>
          </w14:textFill>
        </w:rPr>
      </w:pPr>
    </w:p>
    <w:p w14:paraId="67CD1327">
      <w:pPr>
        <w:spacing w:line="360" w:lineRule="exact"/>
        <w:ind w:right="2100" w:rightChars="1000"/>
        <w:jc w:val="right"/>
        <w:rPr>
          <w:snapToGrid w:val="0"/>
          <w:color w:val="000000" w:themeColor="text1"/>
          <w:kern w:val="0"/>
          <w:sz w:val="22"/>
          <w:highlight w:val="none"/>
          <w14:textFill>
            <w14:solidFill>
              <w14:schemeClr w14:val="tx1"/>
            </w14:solidFill>
          </w14:textFill>
        </w:rPr>
      </w:pPr>
    </w:p>
    <w:p w14:paraId="0BD7C8BC">
      <w:pPr>
        <w:spacing w:line="360" w:lineRule="exact"/>
        <w:ind w:right="2100" w:rightChars="1000"/>
        <w:jc w:val="left"/>
        <w:rPr>
          <w:rFonts w:ascii="宋体" w:hAnsi="宋体" w:cs="宋体"/>
          <w:snapToGrid w:val="0"/>
          <w:color w:val="000000" w:themeColor="text1"/>
          <w:kern w:val="0"/>
          <w:sz w:val="22"/>
          <w:highlight w:val="none"/>
          <w14:textFill>
            <w14:solidFill>
              <w14:schemeClr w14:val="tx1"/>
            </w14:solidFill>
          </w14:textFill>
        </w:rPr>
      </w:pPr>
      <w:r>
        <w:rPr>
          <w:rFonts w:hint="eastAsia" w:ascii="宋体" w:hAnsi="宋体" w:cs="宋体"/>
          <w:snapToGrid w:val="0"/>
          <w:color w:val="000000" w:themeColor="text1"/>
          <w:kern w:val="0"/>
          <w:sz w:val="22"/>
          <w:highlight w:val="none"/>
          <w:lang w:val="zh-CN"/>
          <w14:textFill>
            <w14:solidFill>
              <w14:schemeClr w14:val="tx1"/>
            </w14:solidFill>
          </w14:textFill>
        </w:rPr>
        <w:t>法定代表人（</w:t>
      </w:r>
      <w:r>
        <w:rPr>
          <w:rFonts w:hint="eastAsia" w:ascii="宋体" w:hAnsi="宋体" w:cs="宋体"/>
          <w:snapToGrid w:val="0"/>
          <w:color w:val="000000" w:themeColor="text1"/>
          <w:kern w:val="0"/>
          <w:sz w:val="22"/>
          <w:highlight w:val="none"/>
          <w14:textFill>
            <w14:solidFill>
              <w14:schemeClr w14:val="tx1"/>
            </w14:solidFill>
          </w14:textFill>
        </w:rPr>
        <w:t>单位负责人</w:t>
      </w:r>
      <w:r>
        <w:rPr>
          <w:rFonts w:hint="eastAsia" w:ascii="宋体" w:hAnsi="宋体" w:cs="宋体"/>
          <w:snapToGrid w:val="0"/>
          <w:color w:val="000000" w:themeColor="text1"/>
          <w:kern w:val="0"/>
          <w:sz w:val="22"/>
          <w:highlight w:val="none"/>
          <w:lang w:val="zh-CN"/>
          <w14:textFill>
            <w14:solidFill>
              <w14:schemeClr w14:val="tx1"/>
            </w14:solidFill>
          </w14:textFill>
        </w:rPr>
        <w:t>）或其授权代表（签字</w:t>
      </w:r>
      <w:r>
        <w:rPr>
          <w:rFonts w:hint="eastAsia" w:ascii="宋体" w:hAnsi="宋体" w:cs="宋体"/>
          <w:snapToGrid w:val="0"/>
          <w:color w:val="000000" w:themeColor="text1"/>
          <w:kern w:val="0"/>
          <w:sz w:val="22"/>
          <w:highlight w:val="none"/>
          <w14:textFill>
            <w14:solidFill>
              <w14:schemeClr w14:val="tx1"/>
            </w14:solidFill>
          </w14:textFill>
        </w:rPr>
        <w:t>或盖章</w:t>
      </w:r>
      <w:r>
        <w:rPr>
          <w:rFonts w:hint="eastAsia" w:ascii="宋体" w:hAnsi="宋体" w:cs="宋体"/>
          <w:snapToGrid w:val="0"/>
          <w:color w:val="000000" w:themeColor="text1"/>
          <w:kern w:val="0"/>
          <w:sz w:val="22"/>
          <w:highlight w:val="none"/>
          <w:lang w:val="zh-CN"/>
          <w14:textFill>
            <w14:solidFill>
              <w14:schemeClr w14:val="tx1"/>
            </w14:solidFill>
          </w14:textFill>
        </w:rPr>
        <w:t>）</w:t>
      </w:r>
      <w:r>
        <w:rPr>
          <w:rFonts w:hint="eastAsia" w:ascii="宋体" w:hAnsi="宋体" w:cs="宋体"/>
          <w:snapToGrid w:val="0"/>
          <w:color w:val="000000" w:themeColor="text1"/>
          <w:kern w:val="0"/>
          <w:sz w:val="22"/>
          <w:highlight w:val="none"/>
          <w14:textFill>
            <w14:solidFill>
              <w14:schemeClr w14:val="tx1"/>
            </w14:solidFill>
          </w14:textFill>
        </w:rPr>
        <w:t xml:space="preserve">：                   </w:t>
      </w:r>
    </w:p>
    <w:p w14:paraId="42F185C5">
      <w:pPr>
        <w:spacing w:line="360" w:lineRule="exact"/>
        <w:ind w:right="2100" w:rightChars="1000"/>
        <w:jc w:val="left"/>
        <w:rPr>
          <w:rFonts w:ascii="宋体" w:hAnsi="宋体" w:cs="宋体"/>
          <w:snapToGrid w:val="0"/>
          <w:color w:val="000000" w:themeColor="text1"/>
          <w:kern w:val="0"/>
          <w:sz w:val="22"/>
          <w:highlight w:val="none"/>
          <w14:textFill>
            <w14:solidFill>
              <w14:schemeClr w14:val="tx1"/>
            </w14:solidFill>
          </w14:textFill>
        </w:rPr>
      </w:pPr>
      <w:r>
        <w:rPr>
          <w:rFonts w:hint="eastAsia" w:ascii="宋体" w:hAnsi="宋体" w:cs="宋体"/>
          <w:snapToGrid w:val="0"/>
          <w:color w:val="000000" w:themeColor="text1"/>
          <w:kern w:val="0"/>
          <w:sz w:val="22"/>
          <w:highlight w:val="none"/>
          <w14:textFill>
            <w14:solidFill>
              <w14:schemeClr w14:val="tx1"/>
            </w14:solidFill>
          </w14:textFill>
        </w:rPr>
        <w:t xml:space="preserve">投标人名称（盖章）：                        </w:t>
      </w:r>
    </w:p>
    <w:p w14:paraId="21109F5C">
      <w:pPr>
        <w:spacing w:line="360" w:lineRule="exact"/>
        <w:ind w:right="2100" w:rightChars="1000"/>
        <w:jc w:val="left"/>
        <w:rPr>
          <w:rFonts w:ascii="宋体" w:hAnsi="宋体" w:cs="宋体"/>
          <w:snapToGrid w:val="0"/>
          <w:color w:val="000000" w:themeColor="text1"/>
          <w:kern w:val="0"/>
          <w:sz w:val="22"/>
          <w:highlight w:val="none"/>
          <w14:textFill>
            <w14:solidFill>
              <w14:schemeClr w14:val="tx1"/>
            </w14:solidFill>
          </w14:textFill>
        </w:rPr>
      </w:pPr>
      <w:r>
        <w:rPr>
          <w:rFonts w:hint="eastAsia" w:ascii="宋体" w:hAnsi="宋体" w:cs="宋体"/>
          <w:snapToGrid w:val="0"/>
          <w:color w:val="000000" w:themeColor="text1"/>
          <w:kern w:val="0"/>
          <w:sz w:val="22"/>
          <w:highlight w:val="none"/>
          <w14:textFill>
            <w14:solidFill>
              <w14:schemeClr w14:val="tx1"/>
            </w14:solidFill>
          </w14:textFill>
        </w:rPr>
        <w:t>日期：   年   月   日</w:t>
      </w:r>
    </w:p>
    <w:p w14:paraId="612A578D">
      <w:pPr>
        <w:rPr>
          <w:rFonts w:ascii="宋体" w:hAnsi="宋体" w:cs="宋体"/>
          <w:b/>
          <w:bCs/>
          <w:color w:val="000000" w:themeColor="text1"/>
          <w:sz w:val="32"/>
          <w:highlight w:val="none"/>
          <w14:textFill>
            <w14:solidFill>
              <w14:schemeClr w14:val="tx1"/>
            </w14:solidFill>
          </w14:textFill>
        </w:rPr>
      </w:pPr>
      <w:r>
        <w:rPr>
          <w:rFonts w:hint="eastAsia" w:ascii="宋体" w:hAnsi="宋体" w:cs="宋体"/>
          <w:b/>
          <w:bCs/>
          <w:color w:val="000000" w:themeColor="text1"/>
          <w:sz w:val="32"/>
          <w:highlight w:val="none"/>
          <w14:textFill>
            <w14:solidFill>
              <w14:schemeClr w14:val="tx1"/>
            </w14:solidFill>
          </w14:textFill>
        </w:rPr>
        <w:br w:type="page"/>
      </w:r>
    </w:p>
    <w:p w14:paraId="1DBEA233">
      <w:pPr>
        <w:numPr>
          <w:ilvl w:val="0"/>
          <w:numId w:val="0"/>
        </w:numPr>
        <w:ind w:left="0" w:leftChars="0" w:firstLine="420" w:firstLineChars="0"/>
        <w:jc w:val="center"/>
        <w:rPr>
          <w:rFonts w:ascii="宋体" w:hAnsi="宋体" w:cs="宋体"/>
          <w:bCs/>
          <w:sz w:val="32"/>
          <w:szCs w:val="32"/>
          <w:highlight w:val="none"/>
        </w:rPr>
      </w:pPr>
      <w:r>
        <w:rPr>
          <w:rFonts w:hint="eastAsia" w:ascii="宋体" w:hAnsi="宋体" w:eastAsia="宋体" w:cs="宋体"/>
          <w:b w:val="0"/>
          <w:bCs/>
          <w:kern w:val="2"/>
          <w:sz w:val="32"/>
          <w:szCs w:val="32"/>
          <w:highlight w:val="none"/>
          <w:lang w:val="en-US" w:eastAsia="zh-CN" w:bidi="ar-SA"/>
        </w:rPr>
        <w:t>（二）</w:t>
      </w:r>
      <w:r>
        <w:rPr>
          <w:rFonts w:hint="eastAsia" w:ascii="宋体" w:hAnsi="宋体" w:cs="宋体"/>
          <w:bCs/>
          <w:sz w:val="32"/>
          <w:szCs w:val="32"/>
          <w:highlight w:val="none"/>
        </w:rPr>
        <w:t>分项报价清单表</w:t>
      </w:r>
    </w:p>
    <w:tbl>
      <w:tblPr>
        <w:tblStyle w:val="2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42" w:type="dxa"/>
          <w:bottom w:w="0" w:type="dxa"/>
          <w:right w:w="42" w:type="dxa"/>
        </w:tblCellMar>
      </w:tblPr>
      <w:tblGrid>
        <w:gridCol w:w="714"/>
        <w:gridCol w:w="2294"/>
        <w:gridCol w:w="694"/>
        <w:gridCol w:w="976"/>
        <w:gridCol w:w="1995"/>
        <w:gridCol w:w="1721"/>
      </w:tblGrid>
      <w:tr w14:paraId="67D18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2" w:type="dxa"/>
            <w:bottom w:w="0" w:type="dxa"/>
            <w:right w:w="42" w:type="dxa"/>
          </w:tblCellMar>
        </w:tblPrEx>
        <w:trPr>
          <w:cantSplit/>
          <w:trHeight w:val="469" w:hRule="atLeast"/>
          <w:jc w:val="center"/>
        </w:trPr>
        <w:tc>
          <w:tcPr>
            <w:tcW w:w="426" w:type="pct"/>
            <w:noWrap w:val="0"/>
            <w:vAlign w:val="center"/>
          </w:tcPr>
          <w:p w14:paraId="1170CB38">
            <w:pPr>
              <w:jc w:val="center"/>
              <w:rPr>
                <w:rFonts w:hint="eastAsia" w:ascii="宋体" w:hAnsi="宋体" w:cs="宋体"/>
                <w:sz w:val="22"/>
                <w:highlight w:val="none"/>
              </w:rPr>
            </w:pPr>
            <w:r>
              <w:rPr>
                <w:rFonts w:hint="eastAsia" w:ascii="宋体" w:hAnsi="宋体" w:cs="宋体"/>
                <w:sz w:val="22"/>
                <w:highlight w:val="none"/>
              </w:rPr>
              <w:t>序号</w:t>
            </w:r>
          </w:p>
        </w:tc>
        <w:tc>
          <w:tcPr>
            <w:tcW w:w="1366" w:type="pct"/>
            <w:noWrap w:val="0"/>
            <w:vAlign w:val="center"/>
          </w:tcPr>
          <w:p w14:paraId="55642CF9">
            <w:pPr>
              <w:jc w:val="center"/>
              <w:rPr>
                <w:rFonts w:hint="eastAsia" w:ascii="宋体" w:hAnsi="宋体" w:cs="宋体"/>
                <w:sz w:val="22"/>
                <w:highlight w:val="none"/>
              </w:rPr>
            </w:pPr>
            <w:r>
              <w:rPr>
                <w:rFonts w:hint="eastAsia" w:ascii="宋体" w:hAnsi="宋体" w:cs="宋体"/>
                <w:sz w:val="22"/>
                <w:highlight w:val="none"/>
              </w:rPr>
              <w:t>服务名称</w:t>
            </w:r>
          </w:p>
        </w:tc>
        <w:tc>
          <w:tcPr>
            <w:tcW w:w="413" w:type="pct"/>
            <w:noWrap w:val="0"/>
            <w:vAlign w:val="center"/>
          </w:tcPr>
          <w:p w14:paraId="6B128393">
            <w:pPr>
              <w:jc w:val="center"/>
              <w:rPr>
                <w:rFonts w:hint="eastAsia" w:ascii="宋体" w:hAnsi="宋体" w:cs="宋体"/>
                <w:sz w:val="22"/>
                <w:highlight w:val="none"/>
              </w:rPr>
            </w:pPr>
            <w:r>
              <w:rPr>
                <w:rFonts w:hint="eastAsia" w:ascii="宋体" w:hAnsi="宋体" w:cs="宋体"/>
                <w:sz w:val="22"/>
                <w:highlight w:val="none"/>
              </w:rPr>
              <w:t>数量</w:t>
            </w:r>
          </w:p>
        </w:tc>
        <w:tc>
          <w:tcPr>
            <w:tcW w:w="581" w:type="pct"/>
            <w:noWrap w:val="0"/>
            <w:vAlign w:val="center"/>
          </w:tcPr>
          <w:p w14:paraId="26AA6E08">
            <w:pPr>
              <w:jc w:val="center"/>
              <w:rPr>
                <w:rFonts w:hint="eastAsia" w:ascii="宋体" w:hAnsi="宋体" w:cs="宋体"/>
                <w:sz w:val="22"/>
                <w:highlight w:val="none"/>
              </w:rPr>
            </w:pPr>
            <w:r>
              <w:rPr>
                <w:rFonts w:hint="eastAsia" w:ascii="宋体" w:hAnsi="宋体" w:cs="宋体"/>
                <w:sz w:val="22"/>
                <w:highlight w:val="none"/>
              </w:rPr>
              <w:t>单位</w:t>
            </w:r>
          </w:p>
        </w:tc>
        <w:tc>
          <w:tcPr>
            <w:tcW w:w="1188" w:type="pct"/>
            <w:noWrap w:val="0"/>
            <w:vAlign w:val="center"/>
          </w:tcPr>
          <w:p w14:paraId="47C6AD03">
            <w:pPr>
              <w:jc w:val="center"/>
              <w:rPr>
                <w:rFonts w:hint="eastAsia" w:ascii="宋体" w:hAnsi="宋体" w:cs="宋体"/>
                <w:sz w:val="22"/>
                <w:highlight w:val="none"/>
              </w:rPr>
            </w:pPr>
            <w:r>
              <w:rPr>
                <w:rFonts w:ascii="宋体" w:hAnsi="宋体" w:cs="宋体"/>
                <w:sz w:val="22"/>
                <w:highlight w:val="none"/>
              </w:rPr>
              <w:t>合计（元）</w:t>
            </w:r>
          </w:p>
        </w:tc>
        <w:tc>
          <w:tcPr>
            <w:tcW w:w="1024" w:type="pct"/>
            <w:noWrap w:val="0"/>
            <w:vAlign w:val="center"/>
          </w:tcPr>
          <w:p w14:paraId="73EF04AF">
            <w:pPr>
              <w:jc w:val="center"/>
              <w:rPr>
                <w:rFonts w:hint="eastAsia" w:ascii="宋体" w:hAnsi="宋体" w:cs="宋体"/>
                <w:sz w:val="22"/>
                <w:highlight w:val="none"/>
              </w:rPr>
            </w:pPr>
            <w:r>
              <w:rPr>
                <w:rFonts w:hint="eastAsia" w:ascii="宋体" w:hAnsi="宋体" w:cs="宋体"/>
                <w:sz w:val="22"/>
                <w:highlight w:val="none"/>
              </w:rPr>
              <w:t>备注</w:t>
            </w:r>
          </w:p>
        </w:tc>
      </w:tr>
      <w:tr w14:paraId="0AB27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2" w:type="dxa"/>
            <w:bottom w:w="0" w:type="dxa"/>
            <w:right w:w="42" w:type="dxa"/>
          </w:tblCellMar>
        </w:tblPrEx>
        <w:trPr>
          <w:cantSplit/>
          <w:trHeight w:val="1205" w:hRule="atLeast"/>
          <w:jc w:val="center"/>
        </w:trPr>
        <w:tc>
          <w:tcPr>
            <w:tcW w:w="426" w:type="pct"/>
            <w:noWrap w:val="0"/>
            <w:vAlign w:val="center"/>
          </w:tcPr>
          <w:p w14:paraId="64F083D6">
            <w:pPr>
              <w:spacing w:line="360" w:lineRule="auto"/>
              <w:jc w:val="center"/>
              <w:rPr>
                <w:rFonts w:hint="eastAsia" w:ascii="宋体" w:hAnsi="宋体" w:cs="宋体"/>
                <w:bCs/>
                <w:sz w:val="22"/>
                <w:highlight w:val="none"/>
              </w:rPr>
            </w:pPr>
            <w:r>
              <w:rPr>
                <w:rFonts w:hint="eastAsia" w:ascii="宋体" w:hAnsi="宋体" w:cs="宋体"/>
                <w:b/>
                <w:sz w:val="22"/>
                <w:highlight w:val="none"/>
              </w:rPr>
              <w:t>1</w:t>
            </w:r>
          </w:p>
        </w:tc>
        <w:tc>
          <w:tcPr>
            <w:tcW w:w="1366" w:type="pct"/>
            <w:noWrap w:val="0"/>
            <w:vAlign w:val="center"/>
          </w:tcPr>
          <w:p w14:paraId="189A58CE">
            <w:pPr>
              <w:spacing w:line="360" w:lineRule="auto"/>
              <w:jc w:val="center"/>
              <w:rPr>
                <w:rFonts w:hint="eastAsia" w:ascii="宋体" w:hAnsi="宋体" w:eastAsia="宋体" w:cs="宋体"/>
                <w:bCs/>
                <w:sz w:val="22"/>
                <w:highlight w:val="none"/>
                <w:lang w:eastAsia="zh-CN"/>
              </w:rPr>
            </w:pPr>
          </w:p>
        </w:tc>
        <w:tc>
          <w:tcPr>
            <w:tcW w:w="413" w:type="pct"/>
            <w:noWrap w:val="0"/>
            <w:vAlign w:val="center"/>
          </w:tcPr>
          <w:p w14:paraId="3585B64F">
            <w:pPr>
              <w:spacing w:line="360" w:lineRule="exact"/>
              <w:jc w:val="center"/>
              <w:rPr>
                <w:rFonts w:hint="eastAsia" w:ascii="宋体" w:hAnsi="宋体" w:cs="宋体"/>
                <w:bCs/>
                <w:sz w:val="22"/>
                <w:highlight w:val="none"/>
              </w:rPr>
            </w:pPr>
          </w:p>
        </w:tc>
        <w:tc>
          <w:tcPr>
            <w:tcW w:w="581" w:type="pct"/>
            <w:noWrap w:val="0"/>
            <w:vAlign w:val="center"/>
          </w:tcPr>
          <w:p w14:paraId="6D10D5EE">
            <w:pPr>
              <w:spacing w:line="360" w:lineRule="exact"/>
              <w:jc w:val="center"/>
              <w:rPr>
                <w:rFonts w:hint="eastAsia" w:ascii="宋体" w:hAnsi="宋体" w:cs="宋体"/>
                <w:bCs/>
                <w:sz w:val="22"/>
                <w:highlight w:val="none"/>
              </w:rPr>
            </w:pPr>
          </w:p>
        </w:tc>
        <w:tc>
          <w:tcPr>
            <w:tcW w:w="1188" w:type="pct"/>
            <w:noWrap w:val="0"/>
            <w:vAlign w:val="top"/>
          </w:tcPr>
          <w:p w14:paraId="33755148">
            <w:pPr>
              <w:spacing w:line="360" w:lineRule="exact"/>
              <w:jc w:val="center"/>
              <w:rPr>
                <w:rFonts w:hint="eastAsia" w:ascii="宋体" w:hAnsi="宋体" w:cs="宋体"/>
                <w:bCs/>
                <w:sz w:val="22"/>
                <w:highlight w:val="none"/>
              </w:rPr>
            </w:pPr>
          </w:p>
        </w:tc>
        <w:tc>
          <w:tcPr>
            <w:tcW w:w="1024" w:type="pct"/>
            <w:noWrap w:val="0"/>
            <w:vAlign w:val="top"/>
          </w:tcPr>
          <w:p w14:paraId="37C47BAA">
            <w:pPr>
              <w:spacing w:line="360" w:lineRule="exact"/>
              <w:jc w:val="center"/>
              <w:rPr>
                <w:rFonts w:hint="eastAsia" w:ascii="宋体" w:hAnsi="宋体" w:cs="宋体"/>
                <w:bCs/>
                <w:sz w:val="22"/>
                <w:highlight w:val="none"/>
              </w:rPr>
            </w:pPr>
          </w:p>
        </w:tc>
      </w:tr>
      <w:tr w14:paraId="5C727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2" w:type="dxa"/>
            <w:bottom w:w="0" w:type="dxa"/>
            <w:right w:w="42" w:type="dxa"/>
          </w:tblCellMar>
        </w:tblPrEx>
        <w:trPr>
          <w:cantSplit/>
          <w:trHeight w:val="448" w:hRule="atLeast"/>
          <w:jc w:val="center"/>
        </w:trPr>
        <w:tc>
          <w:tcPr>
            <w:tcW w:w="1792" w:type="pct"/>
            <w:gridSpan w:val="2"/>
            <w:noWrap w:val="0"/>
            <w:vAlign w:val="center"/>
          </w:tcPr>
          <w:p w14:paraId="3726DC03">
            <w:pPr>
              <w:jc w:val="center"/>
              <w:rPr>
                <w:rFonts w:hint="eastAsia" w:ascii="宋体" w:hAnsi="宋体" w:cs="宋体"/>
                <w:bCs/>
                <w:sz w:val="22"/>
                <w:highlight w:val="none"/>
              </w:rPr>
            </w:pPr>
            <w:r>
              <w:rPr>
                <w:rFonts w:hint="eastAsia" w:ascii="宋体" w:hAnsi="宋体" w:cs="宋体"/>
                <w:sz w:val="22"/>
                <w:highlight w:val="none"/>
              </w:rPr>
              <w:t>投标报价</w:t>
            </w:r>
          </w:p>
        </w:tc>
        <w:tc>
          <w:tcPr>
            <w:tcW w:w="3207" w:type="pct"/>
            <w:gridSpan w:val="4"/>
            <w:noWrap w:val="0"/>
            <w:vAlign w:val="center"/>
          </w:tcPr>
          <w:p w14:paraId="6DE2EFB8">
            <w:pPr>
              <w:rPr>
                <w:rFonts w:hint="eastAsia" w:ascii="宋体" w:hAnsi="宋体" w:cs="宋体"/>
                <w:bCs/>
                <w:sz w:val="22"/>
                <w:highlight w:val="none"/>
              </w:rPr>
            </w:pPr>
          </w:p>
        </w:tc>
      </w:tr>
    </w:tbl>
    <w:p w14:paraId="5B8D6063">
      <w:pPr>
        <w:spacing w:line="360" w:lineRule="exact"/>
        <w:ind w:firstLine="220" w:firstLineChars="100"/>
        <w:rPr>
          <w:rFonts w:hint="eastAsia" w:ascii="宋体" w:hAnsi="宋体" w:cs="宋体"/>
          <w:sz w:val="22"/>
          <w:highlight w:val="none"/>
        </w:rPr>
      </w:pPr>
      <w:r>
        <w:rPr>
          <w:rFonts w:hint="eastAsia" w:ascii="宋体" w:hAnsi="宋体" w:cs="宋体"/>
          <w:sz w:val="22"/>
          <w:highlight w:val="none"/>
        </w:rPr>
        <w:t>注：</w:t>
      </w:r>
    </w:p>
    <w:p w14:paraId="37291511">
      <w:pPr>
        <w:spacing w:line="480" w:lineRule="auto"/>
        <w:ind w:firstLine="660" w:firstLineChars="300"/>
        <w:rPr>
          <w:rFonts w:hint="eastAsia" w:ascii="宋体" w:hAnsi="宋体" w:cs="宋体"/>
          <w:sz w:val="22"/>
          <w:highlight w:val="none"/>
        </w:rPr>
      </w:pPr>
      <w:r>
        <w:rPr>
          <w:rFonts w:hint="eastAsia" w:ascii="宋体" w:hAnsi="宋体" w:cs="宋体"/>
          <w:sz w:val="22"/>
          <w:highlight w:val="none"/>
        </w:rPr>
        <w:t>1.所有价格应按“招标文件”中规定的货币单位填写；</w:t>
      </w:r>
    </w:p>
    <w:p w14:paraId="09C1217A">
      <w:pPr>
        <w:spacing w:line="360" w:lineRule="exact"/>
        <w:ind w:right="2100" w:rightChars="1000"/>
        <w:jc w:val="left"/>
        <w:rPr>
          <w:rFonts w:ascii="宋体" w:hAnsi="宋体" w:cs="宋体"/>
          <w:snapToGrid w:val="0"/>
          <w:kern w:val="0"/>
          <w:sz w:val="22"/>
          <w:highlight w:val="none"/>
        </w:rPr>
      </w:pPr>
      <w:r>
        <w:rPr>
          <w:rFonts w:hint="eastAsia" w:ascii="宋体" w:hAnsi="宋体" w:cs="宋体"/>
          <w:snapToGrid w:val="0"/>
          <w:kern w:val="0"/>
          <w:sz w:val="22"/>
          <w:highlight w:val="none"/>
          <w:lang w:val="zh-CN"/>
        </w:rPr>
        <w:t>法定代表人（</w:t>
      </w:r>
      <w:r>
        <w:rPr>
          <w:rFonts w:hint="eastAsia" w:ascii="宋体" w:hAnsi="宋体" w:cs="宋体"/>
          <w:snapToGrid w:val="0"/>
          <w:kern w:val="0"/>
          <w:sz w:val="22"/>
          <w:highlight w:val="none"/>
        </w:rPr>
        <w:t>单位负责人</w:t>
      </w:r>
      <w:r>
        <w:rPr>
          <w:rFonts w:hint="eastAsia" w:ascii="宋体" w:hAnsi="宋体" w:cs="宋体"/>
          <w:snapToGrid w:val="0"/>
          <w:kern w:val="0"/>
          <w:sz w:val="22"/>
          <w:highlight w:val="none"/>
          <w:lang w:val="zh-CN"/>
        </w:rPr>
        <w:t>）或其授权代表（签字</w:t>
      </w:r>
      <w:r>
        <w:rPr>
          <w:rFonts w:hint="eastAsia" w:ascii="宋体" w:hAnsi="宋体" w:cs="宋体"/>
          <w:snapToGrid w:val="0"/>
          <w:kern w:val="0"/>
          <w:sz w:val="22"/>
          <w:highlight w:val="none"/>
        </w:rPr>
        <w:t>或盖章</w:t>
      </w:r>
      <w:r>
        <w:rPr>
          <w:rFonts w:hint="eastAsia" w:ascii="宋体" w:hAnsi="宋体" w:cs="宋体"/>
          <w:snapToGrid w:val="0"/>
          <w:kern w:val="0"/>
          <w:sz w:val="22"/>
          <w:highlight w:val="none"/>
          <w:lang w:val="zh-CN"/>
        </w:rPr>
        <w:t>）</w:t>
      </w:r>
      <w:r>
        <w:rPr>
          <w:rFonts w:hint="eastAsia" w:ascii="宋体" w:hAnsi="宋体" w:cs="宋体"/>
          <w:snapToGrid w:val="0"/>
          <w:kern w:val="0"/>
          <w:sz w:val="22"/>
          <w:highlight w:val="none"/>
        </w:rPr>
        <w:t xml:space="preserve">：                   </w:t>
      </w:r>
    </w:p>
    <w:p w14:paraId="7F0D778C">
      <w:pPr>
        <w:spacing w:line="360" w:lineRule="exact"/>
        <w:ind w:right="2100" w:rightChars="1000"/>
        <w:jc w:val="left"/>
        <w:rPr>
          <w:rFonts w:ascii="宋体" w:hAnsi="宋体" w:cs="宋体"/>
          <w:snapToGrid w:val="0"/>
          <w:kern w:val="0"/>
          <w:sz w:val="22"/>
          <w:highlight w:val="none"/>
        </w:rPr>
      </w:pPr>
      <w:r>
        <w:rPr>
          <w:rFonts w:hint="eastAsia" w:ascii="宋体" w:hAnsi="宋体" w:cs="宋体"/>
          <w:snapToGrid w:val="0"/>
          <w:kern w:val="0"/>
          <w:sz w:val="22"/>
          <w:highlight w:val="none"/>
        </w:rPr>
        <w:t xml:space="preserve">投标人名称（盖章）：                        </w:t>
      </w:r>
    </w:p>
    <w:p w14:paraId="6E8F0267">
      <w:pPr>
        <w:pStyle w:val="10"/>
        <w:rPr>
          <w:highlight w:val="none"/>
        </w:rPr>
      </w:pPr>
      <w:r>
        <w:rPr>
          <w:rFonts w:hint="eastAsia" w:ascii="宋体" w:hAnsi="宋体" w:cs="宋体"/>
          <w:snapToGrid w:val="0"/>
          <w:kern w:val="0"/>
          <w:sz w:val="22"/>
          <w:highlight w:val="none"/>
        </w:rPr>
        <w:t>日期：   年   月   日</w:t>
      </w:r>
    </w:p>
    <w:p w14:paraId="6C730C0F">
      <w:pPr>
        <w:rPr>
          <w:rFonts w:ascii="宋体" w:hAnsi="宋体" w:cs="宋体"/>
          <w:color w:val="000000" w:themeColor="text1"/>
          <w:highlight w:val="none"/>
          <w14:textFill>
            <w14:solidFill>
              <w14:schemeClr w14:val="tx1"/>
            </w14:solidFill>
          </w14:textFill>
        </w:rPr>
      </w:pPr>
      <w:r>
        <w:rPr>
          <w:rFonts w:ascii="宋体" w:hAnsi="宋体" w:cs="宋体"/>
          <w:b/>
          <w:bCs/>
          <w:color w:val="000000" w:themeColor="text1"/>
          <w:sz w:val="32"/>
          <w:highlight w:val="none"/>
          <w14:textFill>
            <w14:solidFill>
              <w14:schemeClr w14:val="tx1"/>
            </w14:solidFill>
          </w14:textFill>
        </w:rPr>
        <w:br w:type="page"/>
      </w:r>
    </w:p>
    <w:p w14:paraId="4021B10F">
      <w:pPr>
        <w:pStyle w:val="22"/>
        <w:ind w:left="0" w:leftChars="0" w:firstLine="0" w:firstLineChars="0"/>
        <w:rPr>
          <w:rFonts w:ascii="宋体" w:hAnsi="宋体" w:cs="宋体"/>
          <w:color w:val="000000" w:themeColor="text1"/>
          <w:highlight w:val="none"/>
          <w14:textFill>
            <w14:solidFill>
              <w14:schemeClr w14:val="tx1"/>
            </w14:solidFill>
          </w14:textFill>
        </w:rPr>
      </w:pPr>
    </w:p>
    <w:p w14:paraId="5488E9F5">
      <w:pPr>
        <w:numPr>
          <w:ilvl w:val="0"/>
          <w:numId w:val="0"/>
        </w:numPr>
        <w:ind w:left="420" w:leftChars="0" w:firstLine="0" w:firstLineChars="0"/>
        <w:jc w:val="center"/>
        <w:outlineLvl w:val="3"/>
        <w:rPr>
          <w:rFonts w:hint="eastAsia" w:eastAsia="宋体" w:cs="Times New Roman"/>
          <w:b/>
          <w:bCs/>
          <w:color w:val="000000" w:themeColor="text1"/>
          <w:sz w:val="28"/>
          <w:szCs w:val="36"/>
          <w14:textFill>
            <w14:solidFill>
              <w14:schemeClr w14:val="tx1"/>
            </w14:solidFill>
          </w14:textFill>
        </w:rPr>
      </w:pPr>
      <w:r>
        <w:rPr>
          <w:rFonts w:hint="eastAsia" w:ascii="宋体" w:hAnsi="宋体" w:cs="宋体"/>
          <w:b/>
          <w:bCs/>
          <w:color w:val="000000" w:themeColor="text1"/>
          <w:sz w:val="32"/>
          <w:szCs w:val="32"/>
          <w:highlight w:val="none"/>
          <w14:textFill>
            <w14:solidFill>
              <w14:schemeClr w14:val="tx1"/>
            </w14:solidFill>
          </w14:textFill>
        </w:rPr>
        <w:t>十一、</w:t>
      </w:r>
      <w:r>
        <w:rPr>
          <w:rFonts w:hint="eastAsia" w:eastAsia="宋体" w:cs="Times New Roman"/>
          <w:b/>
          <w:bCs/>
          <w:color w:val="000000" w:themeColor="text1"/>
          <w:sz w:val="28"/>
          <w:szCs w:val="36"/>
          <w14:textFill>
            <w14:solidFill>
              <w14:schemeClr w14:val="tx1"/>
            </w14:solidFill>
          </w14:textFill>
        </w:rPr>
        <w:t>供应商情况介绍</w:t>
      </w:r>
    </w:p>
    <w:p w14:paraId="12D33783">
      <w:pPr>
        <w:jc w:val="left"/>
        <w:rPr>
          <w:rFonts w:ascii="宋体" w:hAnsi="宋体" w:cs="宋体"/>
          <w:b/>
          <w:bCs/>
          <w:color w:val="000000" w:themeColor="text1"/>
          <w:sz w:val="22"/>
          <w:szCs w:val="22"/>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（一）供应商情况一览表</w:t>
      </w:r>
    </w:p>
    <w:tbl>
      <w:tblPr>
        <w:tblStyle w:val="23"/>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0"/>
        <w:gridCol w:w="3173"/>
        <w:gridCol w:w="3253"/>
        <w:gridCol w:w="1291"/>
      </w:tblGrid>
      <w:tr w14:paraId="3A9B9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5" w:type="pct"/>
          </w:tcPr>
          <w:p w14:paraId="0205F42A">
            <w:pPr>
              <w:adjustRightInd w:val="0"/>
              <w:snapToGrid w:val="0"/>
              <w:spacing w:line="360" w:lineRule="exact"/>
              <w:rPr>
                <w:rFonts w:ascii="宋体" w:hAnsi="宋体" w:cs="宋体"/>
                <w:bCs/>
                <w:color w:val="000000" w:themeColor="text1"/>
                <w:sz w:val="22"/>
                <w:szCs w:val="22"/>
                <w14:textFill>
                  <w14:solidFill>
                    <w14:schemeClr w14:val="tx1"/>
                  </w14:solidFill>
                </w14:textFill>
              </w:rPr>
            </w:pPr>
            <w:r>
              <w:rPr>
                <w:rFonts w:hint="eastAsia" w:ascii="宋体" w:hAnsi="宋体" w:cs="宋体"/>
                <w:bCs/>
                <w:color w:val="000000" w:themeColor="text1"/>
                <w:sz w:val="22"/>
                <w:szCs w:val="22"/>
                <w14:textFill>
                  <w14:solidFill>
                    <w14:schemeClr w14:val="tx1"/>
                  </w14:solidFill>
                </w14:textFill>
              </w:rPr>
              <w:t>序号</w:t>
            </w:r>
          </w:p>
        </w:tc>
        <w:tc>
          <w:tcPr>
            <w:tcW w:w="1860" w:type="pct"/>
          </w:tcPr>
          <w:p w14:paraId="665F78A3">
            <w:pPr>
              <w:adjustRightInd w:val="0"/>
              <w:snapToGrid w:val="0"/>
              <w:spacing w:line="360" w:lineRule="exact"/>
              <w:rPr>
                <w:rFonts w:ascii="宋体" w:hAnsi="宋体" w:cs="宋体"/>
                <w:bCs/>
                <w:color w:val="000000" w:themeColor="text1"/>
                <w:sz w:val="22"/>
                <w:szCs w:val="22"/>
                <w14:textFill>
                  <w14:solidFill>
                    <w14:schemeClr w14:val="tx1"/>
                  </w14:solidFill>
                </w14:textFill>
              </w:rPr>
            </w:pPr>
            <w:r>
              <w:rPr>
                <w:rFonts w:hint="eastAsia" w:ascii="宋体" w:hAnsi="宋体" w:cs="宋体"/>
                <w:bCs/>
                <w:color w:val="000000" w:themeColor="text1"/>
                <w:sz w:val="22"/>
                <w:szCs w:val="22"/>
                <w14:textFill>
                  <w14:solidFill>
                    <w14:schemeClr w14:val="tx1"/>
                  </w14:solidFill>
                </w14:textFill>
              </w:rPr>
              <w:t>项  目</w:t>
            </w:r>
          </w:p>
        </w:tc>
        <w:tc>
          <w:tcPr>
            <w:tcW w:w="1907" w:type="pct"/>
          </w:tcPr>
          <w:p w14:paraId="7D9C733A">
            <w:pPr>
              <w:adjustRightInd w:val="0"/>
              <w:snapToGrid w:val="0"/>
              <w:spacing w:line="360" w:lineRule="exact"/>
              <w:rPr>
                <w:rFonts w:ascii="宋体" w:hAnsi="宋体" w:cs="宋体"/>
                <w:bCs/>
                <w:color w:val="000000" w:themeColor="text1"/>
                <w:sz w:val="22"/>
                <w:szCs w:val="22"/>
                <w14:textFill>
                  <w14:solidFill>
                    <w14:schemeClr w14:val="tx1"/>
                  </w14:solidFill>
                </w14:textFill>
              </w:rPr>
            </w:pPr>
            <w:r>
              <w:rPr>
                <w:rFonts w:hint="eastAsia" w:ascii="宋体" w:hAnsi="宋体" w:cs="宋体"/>
                <w:bCs/>
                <w:color w:val="000000" w:themeColor="text1"/>
                <w:sz w:val="22"/>
                <w:szCs w:val="22"/>
                <w14:textFill>
                  <w14:solidFill>
                    <w14:schemeClr w14:val="tx1"/>
                  </w14:solidFill>
                </w14:textFill>
              </w:rPr>
              <w:t>内容及说明</w:t>
            </w:r>
          </w:p>
        </w:tc>
        <w:tc>
          <w:tcPr>
            <w:tcW w:w="756" w:type="pct"/>
          </w:tcPr>
          <w:p w14:paraId="550C4D3E">
            <w:pPr>
              <w:adjustRightInd w:val="0"/>
              <w:snapToGrid w:val="0"/>
              <w:spacing w:line="360" w:lineRule="exact"/>
              <w:rPr>
                <w:rFonts w:ascii="宋体" w:hAnsi="宋体" w:cs="宋体"/>
                <w:bCs/>
                <w:color w:val="000000" w:themeColor="text1"/>
                <w:sz w:val="22"/>
                <w:szCs w:val="22"/>
                <w14:textFill>
                  <w14:solidFill>
                    <w14:schemeClr w14:val="tx1"/>
                  </w14:solidFill>
                </w14:textFill>
              </w:rPr>
            </w:pPr>
            <w:r>
              <w:rPr>
                <w:rFonts w:hint="eastAsia" w:ascii="宋体" w:hAnsi="宋体" w:cs="宋体"/>
                <w:bCs/>
                <w:color w:val="000000" w:themeColor="text1"/>
                <w:sz w:val="22"/>
                <w:szCs w:val="22"/>
                <w14:textFill>
                  <w14:solidFill>
                    <w14:schemeClr w14:val="tx1"/>
                  </w14:solidFill>
                </w14:textFill>
              </w:rPr>
              <w:t>备注</w:t>
            </w:r>
          </w:p>
        </w:tc>
      </w:tr>
      <w:tr w14:paraId="2E085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475" w:type="pct"/>
            <w:vMerge w:val="restart"/>
          </w:tcPr>
          <w:p w14:paraId="3B863941">
            <w:pPr>
              <w:adjustRightInd w:val="0"/>
              <w:snapToGrid w:val="0"/>
              <w:spacing w:line="360" w:lineRule="exact"/>
              <w:rPr>
                <w:rFonts w:ascii="宋体" w:hAnsi="宋体" w:cs="宋体"/>
                <w:bCs/>
                <w:color w:val="000000" w:themeColor="text1"/>
                <w:sz w:val="22"/>
                <w:szCs w:val="22"/>
                <w14:textFill>
                  <w14:solidFill>
                    <w14:schemeClr w14:val="tx1"/>
                  </w14:solidFill>
                </w14:textFill>
              </w:rPr>
            </w:pPr>
            <w:r>
              <w:rPr>
                <w:rFonts w:hint="eastAsia" w:ascii="宋体" w:hAnsi="宋体" w:cs="宋体"/>
                <w:bCs/>
                <w:color w:val="000000" w:themeColor="text1"/>
                <w:sz w:val="22"/>
                <w:szCs w:val="22"/>
                <w14:textFill>
                  <w14:solidFill>
                    <w14:schemeClr w14:val="tx1"/>
                  </w14:solidFill>
                </w14:textFill>
              </w:rPr>
              <w:t>一</w:t>
            </w:r>
          </w:p>
        </w:tc>
        <w:tc>
          <w:tcPr>
            <w:tcW w:w="1860" w:type="pct"/>
          </w:tcPr>
          <w:p w14:paraId="654CB5DB">
            <w:pPr>
              <w:adjustRightInd w:val="0"/>
              <w:snapToGrid w:val="0"/>
              <w:spacing w:line="360" w:lineRule="exact"/>
              <w:rPr>
                <w:rFonts w:ascii="宋体" w:hAnsi="宋体" w:cs="宋体"/>
                <w:bCs/>
                <w:color w:val="000000" w:themeColor="text1"/>
                <w:sz w:val="22"/>
                <w:szCs w:val="22"/>
                <w14:textFill>
                  <w14:solidFill>
                    <w14:schemeClr w14:val="tx1"/>
                  </w14:solidFill>
                </w14:textFill>
              </w:rPr>
            </w:pPr>
            <w:r>
              <w:rPr>
                <w:rFonts w:hint="eastAsia" w:ascii="宋体" w:hAnsi="宋体" w:cs="宋体"/>
                <w:bCs/>
                <w:color w:val="000000" w:themeColor="text1"/>
                <w:sz w:val="22"/>
                <w:szCs w:val="22"/>
                <w14:textFill>
                  <w14:solidFill>
                    <w14:schemeClr w14:val="tx1"/>
                  </w14:solidFill>
                </w14:textFill>
              </w:rPr>
              <w:t>营业执照</w:t>
            </w:r>
          </w:p>
        </w:tc>
        <w:tc>
          <w:tcPr>
            <w:tcW w:w="1907" w:type="pct"/>
          </w:tcPr>
          <w:p w14:paraId="30DF7B6C">
            <w:pPr>
              <w:adjustRightInd w:val="0"/>
              <w:snapToGrid w:val="0"/>
              <w:spacing w:line="360" w:lineRule="exact"/>
              <w:rPr>
                <w:rFonts w:ascii="宋体" w:hAnsi="宋体" w:cs="宋体"/>
                <w:bCs/>
                <w:color w:val="000000" w:themeColor="text1"/>
                <w:sz w:val="22"/>
                <w:szCs w:val="22"/>
                <w14:textFill>
                  <w14:solidFill>
                    <w14:schemeClr w14:val="tx1"/>
                  </w14:solidFill>
                </w14:textFill>
              </w:rPr>
            </w:pPr>
          </w:p>
        </w:tc>
        <w:tc>
          <w:tcPr>
            <w:tcW w:w="756" w:type="pct"/>
            <w:vMerge w:val="restart"/>
          </w:tcPr>
          <w:p w14:paraId="614F5307">
            <w:pPr>
              <w:adjustRightInd w:val="0"/>
              <w:snapToGrid w:val="0"/>
              <w:spacing w:line="360" w:lineRule="exact"/>
              <w:rPr>
                <w:rFonts w:ascii="宋体" w:hAnsi="宋体" w:cs="宋体"/>
                <w:bCs/>
                <w:color w:val="000000" w:themeColor="text1"/>
                <w:sz w:val="22"/>
                <w:szCs w:val="22"/>
                <w14:textFill>
                  <w14:solidFill>
                    <w14:schemeClr w14:val="tx1"/>
                  </w14:solidFill>
                </w14:textFill>
              </w:rPr>
            </w:pPr>
            <w:r>
              <w:rPr>
                <w:rFonts w:hint="eastAsia" w:ascii="宋体" w:hAnsi="宋体" w:cs="宋体"/>
                <w:bCs/>
                <w:color w:val="000000" w:themeColor="text1"/>
                <w:sz w:val="22"/>
                <w:szCs w:val="22"/>
                <w14:textFill>
                  <w14:solidFill>
                    <w14:schemeClr w14:val="tx1"/>
                  </w14:solidFill>
                </w14:textFill>
              </w:rPr>
              <w:t>提供复印件</w:t>
            </w:r>
          </w:p>
        </w:tc>
      </w:tr>
      <w:tr w14:paraId="41061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475" w:type="pct"/>
            <w:vMerge w:val="continue"/>
          </w:tcPr>
          <w:p w14:paraId="53F48C14">
            <w:pPr>
              <w:adjustRightInd w:val="0"/>
              <w:snapToGrid w:val="0"/>
              <w:spacing w:line="360" w:lineRule="exact"/>
              <w:rPr>
                <w:rFonts w:ascii="宋体" w:hAnsi="宋体" w:cs="宋体"/>
                <w:bCs/>
                <w:color w:val="000000" w:themeColor="text1"/>
                <w:sz w:val="22"/>
                <w:szCs w:val="22"/>
                <w14:textFill>
                  <w14:solidFill>
                    <w14:schemeClr w14:val="tx1"/>
                  </w14:solidFill>
                </w14:textFill>
              </w:rPr>
            </w:pPr>
          </w:p>
        </w:tc>
        <w:tc>
          <w:tcPr>
            <w:tcW w:w="1860" w:type="pct"/>
          </w:tcPr>
          <w:p w14:paraId="68E53EDF">
            <w:pPr>
              <w:adjustRightInd w:val="0"/>
              <w:snapToGrid w:val="0"/>
              <w:spacing w:line="360" w:lineRule="exact"/>
              <w:rPr>
                <w:rFonts w:ascii="宋体" w:hAnsi="宋体" w:cs="宋体"/>
                <w:bCs/>
                <w:color w:val="000000" w:themeColor="text1"/>
                <w:sz w:val="22"/>
                <w:szCs w:val="22"/>
                <w14:textFill>
                  <w14:solidFill>
                    <w14:schemeClr w14:val="tx1"/>
                  </w14:solidFill>
                </w14:textFill>
              </w:rPr>
            </w:pPr>
            <w:r>
              <w:rPr>
                <w:rFonts w:hint="eastAsia" w:ascii="宋体" w:hAnsi="宋体" w:cs="宋体"/>
                <w:bCs/>
                <w:color w:val="000000" w:themeColor="text1"/>
                <w:sz w:val="22"/>
                <w:szCs w:val="22"/>
                <w14:textFill>
                  <w14:solidFill>
                    <w14:schemeClr w14:val="tx1"/>
                  </w14:solidFill>
                </w14:textFill>
              </w:rPr>
              <w:t>1.注册年度及注册编号</w:t>
            </w:r>
          </w:p>
        </w:tc>
        <w:tc>
          <w:tcPr>
            <w:tcW w:w="1907" w:type="pct"/>
          </w:tcPr>
          <w:p w14:paraId="2C1C531A">
            <w:pPr>
              <w:adjustRightInd w:val="0"/>
              <w:snapToGrid w:val="0"/>
              <w:spacing w:line="360" w:lineRule="exact"/>
              <w:rPr>
                <w:rFonts w:ascii="宋体" w:hAnsi="宋体" w:cs="宋体"/>
                <w:bCs/>
                <w:color w:val="000000" w:themeColor="text1"/>
                <w:sz w:val="22"/>
                <w:szCs w:val="22"/>
                <w14:textFill>
                  <w14:solidFill>
                    <w14:schemeClr w14:val="tx1"/>
                  </w14:solidFill>
                </w14:textFill>
              </w:rPr>
            </w:pPr>
          </w:p>
        </w:tc>
        <w:tc>
          <w:tcPr>
            <w:tcW w:w="756" w:type="pct"/>
            <w:vMerge w:val="continue"/>
          </w:tcPr>
          <w:p w14:paraId="4D57AF2D">
            <w:pPr>
              <w:adjustRightInd w:val="0"/>
              <w:snapToGrid w:val="0"/>
              <w:spacing w:line="360" w:lineRule="exact"/>
              <w:rPr>
                <w:rFonts w:ascii="宋体" w:hAnsi="宋体" w:cs="宋体"/>
                <w:bCs/>
                <w:color w:val="000000" w:themeColor="text1"/>
                <w:sz w:val="22"/>
                <w:szCs w:val="22"/>
                <w14:textFill>
                  <w14:solidFill>
                    <w14:schemeClr w14:val="tx1"/>
                  </w14:solidFill>
                </w14:textFill>
              </w:rPr>
            </w:pPr>
          </w:p>
        </w:tc>
      </w:tr>
      <w:tr w14:paraId="093F7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475" w:type="pct"/>
            <w:vMerge w:val="continue"/>
          </w:tcPr>
          <w:p w14:paraId="150C90F8">
            <w:pPr>
              <w:adjustRightInd w:val="0"/>
              <w:snapToGrid w:val="0"/>
              <w:spacing w:line="360" w:lineRule="exact"/>
              <w:rPr>
                <w:rFonts w:ascii="宋体" w:hAnsi="宋体" w:cs="宋体"/>
                <w:bCs/>
                <w:color w:val="000000" w:themeColor="text1"/>
                <w:sz w:val="22"/>
                <w:szCs w:val="22"/>
                <w14:textFill>
                  <w14:solidFill>
                    <w14:schemeClr w14:val="tx1"/>
                  </w14:solidFill>
                </w14:textFill>
              </w:rPr>
            </w:pPr>
          </w:p>
        </w:tc>
        <w:tc>
          <w:tcPr>
            <w:tcW w:w="1860" w:type="pct"/>
          </w:tcPr>
          <w:p w14:paraId="6484F2A3">
            <w:pPr>
              <w:adjustRightInd w:val="0"/>
              <w:snapToGrid w:val="0"/>
              <w:spacing w:line="360" w:lineRule="exact"/>
              <w:rPr>
                <w:rFonts w:ascii="宋体" w:hAnsi="宋体" w:cs="宋体"/>
                <w:bCs/>
                <w:color w:val="000000" w:themeColor="text1"/>
                <w:sz w:val="22"/>
                <w:szCs w:val="22"/>
                <w14:textFill>
                  <w14:solidFill>
                    <w14:schemeClr w14:val="tx1"/>
                  </w14:solidFill>
                </w14:textFill>
              </w:rPr>
            </w:pPr>
            <w:r>
              <w:rPr>
                <w:rFonts w:hint="eastAsia" w:ascii="宋体" w:hAnsi="宋体" w:cs="宋体"/>
                <w:bCs/>
                <w:color w:val="000000" w:themeColor="text1"/>
                <w:sz w:val="22"/>
                <w:szCs w:val="22"/>
                <w14:textFill>
                  <w14:solidFill>
                    <w14:schemeClr w14:val="tx1"/>
                  </w14:solidFill>
                </w14:textFill>
              </w:rPr>
              <w:t>2.注册资金（万元）：</w:t>
            </w:r>
          </w:p>
        </w:tc>
        <w:tc>
          <w:tcPr>
            <w:tcW w:w="1907" w:type="pct"/>
          </w:tcPr>
          <w:p w14:paraId="233CF4AC">
            <w:pPr>
              <w:adjustRightInd w:val="0"/>
              <w:snapToGrid w:val="0"/>
              <w:spacing w:line="360" w:lineRule="exact"/>
              <w:rPr>
                <w:rFonts w:ascii="宋体" w:hAnsi="宋体" w:cs="宋体"/>
                <w:bCs/>
                <w:color w:val="000000" w:themeColor="text1"/>
                <w:sz w:val="22"/>
                <w:szCs w:val="22"/>
                <w14:textFill>
                  <w14:solidFill>
                    <w14:schemeClr w14:val="tx1"/>
                  </w14:solidFill>
                </w14:textFill>
              </w:rPr>
            </w:pPr>
          </w:p>
        </w:tc>
        <w:tc>
          <w:tcPr>
            <w:tcW w:w="756" w:type="pct"/>
            <w:vMerge w:val="continue"/>
          </w:tcPr>
          <w:p w14:paraId="15DFD9E2">
            <w:pPr>
              <w:adjustRightInd w:val="0"/>
              <w:snapToGrid w:val="0"/>
              <w:spacing w:line="360" w:lineRule="exact"/>
              <w:rPr>
                <w:rFonts w:ascii="宋体" w:hAnsi="宋体" w:cs="宋体"/>
                <w:bCs/>
                <w:color w:val="000000" w:themeColor="text1"/>
                <w:sz w:val="22"/>
                <w:szCs w:val="22"/>
                <w14:textFill>
                  <w14:solidFill>
                    <w14:schemeClr w14:val="tx1"/>
                  </w14:solidFill>
                </w14:textFill>
              </w:rPr>
            </w:pPr>
          </w:p>
        </w:tc>
      </w:tr>
      <w:tr w14:paraId="03A56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475" w:type="pct"/>
            <w:vMerge w:val="continue"/>
          </w:tcPr>
          <w:p w14:paraId="6BF96F96">
            <w:pPr>
              <w:adjustRightInd w:val="0"/>
              <w:snapToGrid w:val="0"/>
              <w:spacing w:line="360" w:lineRule="exact"/>
              <w:rPr>
                <w:rFonts w:ascii="宋体" w:hAnsi="宋体" w:cs="宋体"/>
                <w:bCs/>
                <w:color w:val="000000" w:themeColor="text1"/>
                <w:sz w:val="22"/>
                <w:szCs w:val="22"/>
                <w14:textFill>
                  <w14:solidFill>
                    <w14:schemeClr w14:val="tx1"/>
                  </w14:solidFill>
                </w14:textFill>
              </w:rPr>
            </w:pPr>
          </w:p>
        </w:tc>
        <w:tc>
          <w:tcPr>
            <w:tcW w:w="1860" w:type="pct"/>
          </w:tcPr>
          <w:p w14:paraId="4C0AF8F4">
            <w:pPr>
              <w:adjustRightInd w:val="0"/>
              <w:snapToGrid w:val="0"/>
              <w:spacing w:line="360" w:lineRule="exact"/>
              <w:rPr>
                <w:rFonts w:ascii="宋体" w:hAnsi="宋体" w:cs="宋体"/>
                <w:bCs/>
                <w:color w:val="000000" w:themeColor="text1"/>
                <w:sz w:val="22"/>
                <w:szCs w:val="22"/>
                <w14:textFill>
                  <w14:solidFill>
                    <w14:schemeClr w14:val="tx1"/>
                  </w14:solidFill>
                </w14:textFill>
              </w:rPr>
            </w:pPr>
            <w:r>
              <w:rPr>
                <w:rFonts w:hint="eastAsia" w:ascii="宋体" w:hAnsi="宋体" w:cs="宋体"/>
                <w:bCs/>
                <w:color w:val="000000" w:themeColor="text1"/>
                <w:sz w:val="22"/>
                <w:szCs w:val="22"/>
                <w14:textFill>
                  <w14:solidFill>
                    <w14:schemeClr w14:val="tx1"/>
                  </w14:solidFill>
                </w14:textFill>
              </w:rPr>
              <w:t>3.经营场所：</w:t>
            </w:r>
          </w:p>
        </w:tc>
        <w:tc>
          <w:tcPr>
            <w:tcW w:w="1907" w:type="pct"/>
          </w:tcPr>
          <w:p w14:paraId="0B4B5906">
            <w:pPr>
              <w:adjustRightInd w:val="0"/>
              <w:snapToGrid w:val="0"/>
              <w:spacing w:line="360" w:lineRule="exact"/>
              <w:rPr>
                <w:rFonts w:ascii="宋体" w:hAnsi="宋体" w:cs="宋体"/>
                <w:bCs/>
                <w:color w:val="000000" w:themeColor="text1"/>
                <w:sz w:val="22"/>
                <w:szCs w:val="22"/>
                <w14:textFill>
                  <w14:solidFill>
                    <w14:schemeClr w14:val="tx1"/>
                  </w14:solidFill>
                </w14:textFill>
              </w:rPr>
            </w:pPr>
          </w:p>
        </w:tc>
        <w:tc>
          <w:tcPr>
            <w:tcW w:w="756" w:type="pct"/>
            <w:vMerge w:val="continue"/>
          </w:tcPr>
          <w:p w14:paraId="6F7950F6">
            <w:pPr>
              <w:adjustRightInd w:val="0"/>
              <w:snapToGrid w:val="0"/>
              <w:spacing w:line="360" w:lineRule="exact"/>
              <w:rPr>
                <w:rFonts w:ascii="宋体" w:hAnsi="宋体" w:cs="宋体"/>
                <w:bCs/>
                <w:color w:val="000000" w:themeColor="text1"/>
                <w:sz w:val="22"/>
                <w:szCs w:val="22"/>
                <w14:textFill>
                  <w14:solidFill>
                    <w14:schemeClr w14:val="tx1"/>
                  </w14:solidFill>
                </w14:textFill>
              </w:rPr>
            </w:pPr>
          </w:p>
        </w:tc>
      </w:tr>
      <w:tr w14:paraId="1EC12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475" w:type="pct"/>
            <w:vMerge w:val="continue"/>
          </w:tcPr>
          <w:p w14:paraId="0533253F">
            <w:pPr>
              <w:adjustRightInd w:val="0"/>
              <w:snapToGrid w:val="0"/>
              <w:spacing w:line="360" w:lineRule="exact"/>
              <w:rPr>
                <w:rFonts w:ascii="宋体" w:hAnsi="宋体" w:cs="宋体"/>
                <w:bCs/>
                <w:color w:val="000000" w:themeColor="text1"/>
                <w:sz w:val="22"/>
                <w:szCs w:val="22"/>
                <w14:textFill>
                  <w14:solidFill>
                    <w14:schemeClr w14:val="tx1"/>
                  </w14:solidFill>
                </w14:textFill>
              </w:rPr>
            </w:pPr>
          </w:p>
        </w:tc>
        <w:tc>
          <w:tcPr>
            <w:tcW w:w="1860" w:type="pct"/>
          </w:tcPr>
          <w:p w14:paraId="6213D184">
            <w:pPr>
              <w:adjustRightInd w:val="0"/>
              <w:snapToGrid w:val="0"/>
              <w:spacing w:line="360" w:lineRule="exact"/>
              <w:rPr>
                <w:rFonts w:ascii="宋体" w:hAnsi="宋体" w:cs="宋体"/>
                <w:bCs/>
                <w:color w:val="000000" w:themeColor="text1"/>
                <w:sz w:val="22"/>
                <w:szCs w:val="22"/>
                <w14:textFill>
                  <w14:solidFill>
                    <w14:schemeClr w14:val="tx1"/>
                  </w14:solidFill>
                </w14:textFill>
              </w:rPr>
            </w:pPr>
            <w:r>
              <w:rPr>
                <w:rFonts w:hint="eastAsia" w:ascii="宋体" w:hAnsi="宋体" w:cs="宋体"/>
                <w:bCs/>
                <w:color w:val="000000" w:themeColor="text1"/>
                <w:sz w:val="22"/>
                <w:szCs w:val="22"/>
                <w14:textFill>
                  <w14:solidFill>
                    <w14:schemeClr w14:val="tx1"/>
                  </w14:solidFill>
                </w14:textFill>
              </w:rPr>
              <w:t>4.有效期：</w:t>
            </w:r>
          </w:p>
        </w:tc>
        <w:tc>
          <w:tcPr>
            <w:tcW w:w="1907" w:type="pct"/>
          </w:tcPr>
          <w:p w14:paraId="04C906AE">
            <w:pPr>
              <w:adjustRightInd w:val="0"/>
              <w:snapToGrid w:val="0"/>
              <w:spacing w:line="360" w:lineRule="exact"/>
              <w:rPr>
                <w:rFonts w:ascii="宋体" w:hAnsi="宋体" w:cs="宋体"/>
                <w:bCs/>
                <w:color w:val="000000" w:themeColor="text1"/>
                <w:sz w:val="22"/>
                <w:szCs w:val="22"/>
                <w14:textFill>
                  <w14:solidFill>
                    <w14:schemeClr w14:val="tx1"/>
                  </w14:solidFill>
                </w14:textFill>
              </w:rPr>
            </w:pPr>
          </w:p>
        </w:tc>
        <w:tc>
          <w:tcPr>
            <w:tcW w:w="756" w:type="pct"/>
            <w:vMerge w:val="continue"/>
          </w:tcPr>
          <w:p w14:paraId="74EA143C">
            <w:pPr>
              <w:adjustRightInd w:val="0"/>
              <w:snapToGrid w:val="0"/>
              <w:spacing w:line="360" w:lineRule="exact"/>
              <w:rPr>
                <w:rFonts w:ascii="宋体" w:hAnsi="宋体" w:cs="宋体"/>
                <w:bCs/>
                <w:color w:val="000000" w:themeColor="text1"/>
                <w:sz w:val="22"/>
                <w:szCs w:val="22"/>
                <w14:textFill>
                  <w14:solidFill>
                    <w14:schemeClr w14:val="tx1"/>
                  </w14:solidFill>
                </w14:textFill>
              </w:rPr>
            </w:pPr>
          </w:p>
        </w:tc>
      </w:tr>
      <w:tr w14:paraId="233C8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5" w:type="pct"/>
            <w:vMerge w:val="restart"/>
          </w:tcPr>
          <w:p w14:paraId="259C5A46">
            <w:pPr>
              <w:adjustRightInd w:val="0"/>
              <w:snapToGrid w:val="0"/>
              <w:spacing w:line="360" w:lineRule="exact"/>
              <w:rPr>
                <w:rFonts w:ascii="宋体" w:hAnsi="宋体" w:cs="宋体"/>
                <w:bCs/>
                <w:color w:val="000000" w:themeColor="text1"/>
                <w:sz w:val="22"/>
                <w:szCs w:val="22"/>
                <w14:textFill>
                  <w14:solidFill>
                    <w14:schemeClr w14:val="tx1"/>
                  </w14:solidFill>
                </w14:textFill>
              </w:rPr>
            </w:pPr>
            <w:r>
              <w:rPr>
                <w:rFonts w:hint="eastAsia" w:ascii="宋体" w:hAnsi="宋体" w:cs="宋体"/>
                <w:bCs/>
                <w:color w:val="000000" w:themeColor="text1"/>
                <w:sz w:val="22"/>
                <w:szCs w:val="22"/>
                <w14:textFill>
                  <w14:solidFill>
                    <w14:schemeClr w14:val="tx1"/>
                  </w14:solidFill>
                </w14:textFill>
              </w:rPr>
              <w:t>二</w:t>
            </w:r>
          </w:p>
        </w:tc>
        <w:tc>
          <w:tcPr>
            <w:tcW w:w="1860" w:type="pct"/>
          </w:tcPr>
          <w:p w14:paraId="5B7F1040">
            <w:pPr>
              <w:adjustRightInd w:val="0"/>
              <w:snapToGrid w:val="0"/>
              <w:spacing w:line="360" w:lineRule="exact"/>
              <w:rPr>
                <w:rFonts w:ascii="宋体" w:hAnsi="宋体" w:cs="宋体"/>
                <w:bCs/>
                <w:color w:val="000000" w:themeColor="text1"/>
                <w:sz w:val="22"/>
                <w:szCs w:val="22"/>
                <w14:textFill>
                  <w14:solidFill>
                    <w14:schemeClr w14:val="tx1"/>
                  </w14:solidFill>
                </w14:textFill>
              </w:rPr>
            </w:pPr>
            <w:r>
              <w:rPr>
                <w:rFonts w:hint="eastAsia" w:ascii="宋体" w:hAnsi="宋体" w:cs="宋体"/>
                <w:bCs/>
                <w:color w:val="000000" w:themeColor="text1"/>
                <w:sz w:val="22"/>
                <w:szCs w:val="22"/>
                <w14:textFill>
                  <w14:solidFill>
                    <w14:schemeClr w14:val="tx1"/>
                  </w14:solidFill>
                </w14:textFill>
              </w:rPr>
              <w:t>税务登记证</w:t>
            </w:r>
          </w:p>
        </w:tc>
        <w:tc>
          <w:tcPr>
            <w:tcW w:w="1907" w:type="pct"/>
          </w:tcPr>
          <w:p w14:paraId="459A4178">
            <w:pPr>
              <w:adjustRightInd w:val="0"/>
              <w:snapToGrid w:val="0"/>
              <w:spacing w:line="360" w:lineRule="exact"/>
              <w:rPr>
                <w:rFonts w:ascii="宋体" w:hAnsi="宋体" w:cs="宋体"/>
                <w:bCs/>
                <w:color w:val="000000" w:themeColor="text1"/>
                <w:sz w:val="22"/>
                <w:szCs w:val="22"/>
                <w14:textFill>
                  <w14:solidFill>
                    <w14:schemeClr w14:val="tx1"/>
                  </w14:solidFill>
                </w14:textFill>
              </w:rPr>
            </w:pPr>
          </w:p>
        </w:tc>
        <w:tc>
          <w:tcPr>
            <w:tcW w:w="756" w:type="pct"/>
            <w:vMerge w:val="restart"/>
          </w:tcPr>
          <w:p w14:paraId="70E0859F">
            <w:pPr>
              <w:adjustRightInd w:val="0"/>
              <w:snapToGrid w:val="0"/>
              <w:spacing w:line="360" w:lineRule="exact"/>
              <w:rPr>
                <w:rFonts w:ascii="宋体" w:hAnsi="宋体" w:cs="宋体"/>
                <w:bCs/>
                <w:color w:val="000000" w:themeColor="text1"/>
                <w:sz w:val="22"/>
                <w:szCs w:val="22"/>
                <w14:textFill>
                  <w14:solidFill>
                    <w14:schemeClr w14:val="tx1"/>
                  </w14:solidFill>
                </w14:textFill>
              </w:rPr>
            </w:pPr>
            <w:r>
              <w:rPr>
                <w:rFonts w:hint="eastAsia" w:ascii="宋体" w:hAnsi="宋体" w:cs="宋体"/>
                <w:bCs/>
                <w:color w:val="000000" w:themeColor="text1"/>
                <w:sz w:val="22"/>
                <w:szCs w:val="22"/>
                <w14:textFill>
                  <w14:solidFill>
                    <w14:schemeClr w14:val="tx1"/>
                  </w14:solidFill>
                </w14:textFill>
              </w:rPr>
              <w:t>提供复印件</w:t>
            </w:r>
          </w:p>
        </w:tc>
      </w:tr>
      <w:tr w14:paraId="536E0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5" w:type="pct"/>
            <w:vMerge w:val="continue"/>
          </w:tcPr>
          <w:p w14:paraId="21F169F7">
            <w:pPr>
              <w:adjustRightInd w:val="0"/>
              <w:snapToGrid w:val="0"/>
              <w:spacing w:line="360" w:lineRule="exact"/>
              <w:rPr>
                <w:rFonts w:ascii="宋体" w:hAnsi="宋体" w:cs="宋体"/>
                <w:bCs/>
                <w:color w:val="000000" w:themeColor="text1"/>
                <w:sz w:val="22"/>
                <w:szCs w:val="22"/>
                <w14:textFill>
                  <w14:solidFill>
                    <w14:schemeClr w14:val="tx1"/>
                  </w14:solidFill>
                </w14:textFill>
              </w:rPr>
            </w:pPr>
          </w:p>
        </w:tc>
        <w:tc>
          <w:tcPr>
            <w:tcW w:w="1860" w:type="pct"/>
          </w:tcPr>
          <w:p w14:paraId="2D4EDC8A">
            <w:pPr>
              <w:adjustRightInd w:val="0"/>
              <w:snapToGrid w:val="0"/>
              <w:spacing w:line="360" w:lineRule="exact"/>
              <w:rPr>
                <w:rFonts w:ascii="宋体" w:hAnsi="宋体" w:cs="宋体"/>
                <w:bCs/>
                <w:color w:val="000000" w:themeColor="text1"/>
                <w:sz w:val="22"/>
                <w:szCs w:val="22"/>
                <w14:textFill>
                  <w14:solidFill>
                    <w14:schemeClr w14:val="tx1"/>
                  </w14:solidFill>
                </w14:textFill>
              </w:rPr>
            </w:pPr>
            <w:r>
              <w:rPr>
                <w:rFonts w:hint="eastAsia" w:ascii="宋体" w:hAnsi="宋体" w:cs="宋体"/>
                <w:bCs/>
                <w:color w:val="000000" w:themeColor="text1"/>
                <w:sz w:val="22"/>
                <w:szCs w:val="22"/>
                <w14:textFill>
                  <w14:solidFill>
                    <w14:schemeClr w14:val="tx1"/>
                  </w14:solidFill>
                </w14:textFill>
              </w:rPr>
              <w:t>1.税务登记证编号：</w:t>
            </w:r>
          </w:p>
        </w:tc>
        <w:tc>
          <w:tcPr>
            <w:tcW w:w="1907" w:type="pct"/>
          </w:tcPr>
          <w:p w14:paraId="57BE7376">
            <w:pPr>
              <w:adjustRightInd w:val="0"/>
              <w:snapToGrid w:val="0"/>
              <w:spacing w:line="360" w:lineRule="exact"/>
              <w:rPr>
                <w:rFonts w:ascii="宋体" w:hAnsi="宋体" w:cs="宋体"/>
                <w:bCs/>
                <w:color w:val="000000" w:themeColor="text1"/>
                <w:sz w:val="22"/>
                <w:szCs w:val="22"/>
                <w14:textFill>
                  <w14:solidFill>
                    <w14:schemeClr w14:val="tx1"/>
                  </w14:solidFill>
                </w14:textFill>
              </w:rPr>
            </w:pPr>
          </w:p>
        </w:tc>
        <w:tc>
          <w:tcPr>
            <w:tcW w:w="756" w:type="pct"/>
            <w:vMerge w:val="continue"/>
          </w:tcPr>
          <w:p w14:paraId="2D51CB61">
            <w:pPr>
              <w:adjustRightInd w:val="0"/>
              <w:snapToGrid w:val="0"/>
              <w:spacing w:line="360" w:lineRule="exact"/>
              <w:rPr>
                <w:rFonts w:ascii="宋体" w:hAnsi="宋体" w:cs="宋体"/>
                <w:bCs/>
                <w:color w:val="000000" w:themeColor="text1"/>
                <w:sz w:val="22"/>
                <w:szCs w:val="22"/>
                <w14:textFill>
                  <w14:solidFill>
                    <w14:schemeClr w14:val="tx1"/>
                  </w14:solidFill>
                </w14:textFill>
              </w:rPr>
            </w:pPr>
          </w:p>
        </w:tc>
      </w:tr>
      <w:tr w14:paraId="71832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5" w:type="pct"/>
          </w:tcPr>
          <w:p w14:paraId="037FD2FA">
            <w:pPr>
              <w:adjustRightInd w:val="0"/>
              <w:snapToGrid w:val="0"/>
              <w:spacing w:line="360" w:lineRule="exact"/>
              <w:rPr>
                <w:rFonts w:ascii="宋体" w:hAnsi="宋体" w:cs="宋体"/>
                <w:bCs/>
                <w:color w:val="000000" w:themeColor="text1"/>
                <w:sz w:val="22"/>
                <w:szCs w:val="22"/>
                <w14:textFill>
                  <w14:solidFill>
                    <w14:schemeClr w14:val="tx1"/>
                  </w14:solidFill>
                </w14:textFill>
              </w:rPr>
            </w:pPr>
            <w:r>
              <w:rPr>
                <w:rFonts w:hint="eastAsia" w:ascii="宋体" w:hAnsi="宋体" w:cs="宋体"/>
                <w:bCs/>
                <w:color w:val="000000" w:themeColor="text1"/>
                <w:sz w:val="22"/>
                <w:szCs w:val="22"/>
                <w14:textFill>
                  <w14:solidFill>
                    <w14:schemeClr w14:val="tx1"/>
                  </w14:solidFill>
                </w14:textFill>
              </w:rPr>
              <w:t>三</w:t>
            </w:r>
            <w:r>
              <w:rPr>
                <w:rFonts w:hint="eastAsia" w:ascii="宋体" w:hAnsi="宋体" w:cs="宋体"/>
                <w:bCs/>
                <w:color w:val="000000" w:themeColor="text1"/>
                <w:sz w:val="22"/>
                <w:szCs w:val="22"/>
                <w14:textFill>
                  <w14:solidFill>
                    <w14:schemeClr w14:val="tx1"/>
                  </w14:solidFill>
                </w14:textFill>
              </w:rPr>
              <w:tab/>
            </w:r>
          </w:p>
        </w:tc>
        <w:tc>
          <w:tcPr>
            <w:tcW w:w="1860" w:type="pct"/>
          </w:tcPr>
          <w:p w14:paraId="5736945B">
            <w:pPr>
              <w:adjustRightInd w:val="0"/>
              <w:snapToGrid w:val="0"/>
              <w:spacing w:line="360" w:lineRule="exact"/>
              <w:rPr>
                <w:rFonts w:ascii="宋体" w:hAnsi="宋体" w:cs="宋体"/>
                <w:bCs/>
                <w:color w:val="000000" w:themeColor="text1"/>
                <w:sz w:val="22"/>
                <w:szCs w:val="22"/>
                <w14:textFill>
                  <w14:solidFill>
                    <w14:schemeClr w14:val="tx1"/>
                  </w14:solidFill>
                </w14:textFill>
              </w:rPr>
            </w:pPr>
            <w:r>
              <w:rPr>
                <w:rFonts w:hint="eastAsia" w:ascii="宋体" w:hAnsi="宋体" w:cs="宋体"/>
                <w:bCs/>
                <w:color w:val="000000" w:themeColor="text1"/>
                <w:sz w:val="22"/>
                <w:szCs w:val="22"/>
                <w14:textFill>
                  <w14:solidFill>
                    <w14:schemeClr w14:val="tx1"/>
                  </w14:solidFill>
                </w14:textFill>
              </w:rPr>
              <w:t>其他资格（质）证书</w:t>
            </w:r>
          </w:p>
        </w:tc>
        <w:tc>
          <w:tcPr>
            <w:tcW w:w="1907" w:type="pct"/>
          </w:tcPr>
          <w:p w14:paraId="40469D61">
            <w:pPr>
              <w:adjustRightInd w:val="0"/>
              <w:snapToGrid w:val="0"/>
              <w:spacing w:line="360" w:lineRule="exact"/>
              <w:rPr>
                <w:rFonts w:ascii="宋体" w:hAnsi="宋体" w:cs="宋体"/>
                <w:bCs/>
                <w:color w:val="000000" w:themeColor="text1"/>
                <w:sz w:val="22"/>
                <w:szCs w:val="22"/>
                <w14:textFill>
                  <w14:solidFill>
                    <w14:schemeClr w14:val="tx1"/>
                  </w14:solidFill>
                </w14:textFill>
              </w:rPr>
            </w:pPr>
            <w:r>
              <w:rPr>
                <w:rFonts w:hint="eastAsia" w:ascii="宋体" w:hAnsi="宋体" w:cs="宋体"/>
                <w:bCs/>
                <w:color w:val="000000" w:themeColor="text1"/>
                <w:sz w:val="22"/>
                <w:szCs w:val="22"/>
                <w14:textFill>
                  <w14:solidFill>
                    <w14:schemeClr w14:val="tx1"/>
                  </w14:solidFill>
                </w14:textFill>
              </w:rPr>
              <w:t>（若有其他资质证书，可按表格格式扩展</w:t>
            </w:r>
          </w:p>
        </w:tc>
        <w:tc>
          <w:tcPr>
            <w:tcW w:w="756" w:type="pct"/>
            <w:vMerge w:val="restart"/>
          </w:tcPr>
          <w:p w14:paraId="0AD0EF61">
            <w:pPr>
              <w:adjustRightInd w:val="0"/>
              <w:snapToGrid w:val="0"/>
              <w:spacing w:line="360" w:lineRule="exact"/>
              <w:rPr>
                <w:rFonts w:ascii="宋体" w:hAnsi="宋体" w:cs="宋体"/>
                <w:bCs/>
                <w:color w:val="000000" w:themeColor="text1"/>
                <w:sz w:val="22"/>
                <w:szCs w:val="22"/>
                <w14:textFill>
                  <w14:solidFill>
                    <w14:schemeClr w14:val="tx1"/>
                  </w14:solidFill>
                </w14:textFill>
              </w:rPr>
            </w:pPr>
            <w:r>
              <w:rPr>
                <w:rFonts w:hint="eastAsia" w:ascii="宋体" w:hAnsi="宋体" w:cs="宋体"/>
                <w:bCs/>
                <w:color w:val="000000" w:themeColor="text1"/>
                <w:sz w:val="22"/>
                <w:szCs w:val="22"/>
                <w14:textFill>
                  <w14:solidFill>
                    <w14:schemeClr w14:val="tx1"/>
                  </w14:solidFill>
                </w14:textFill>
              </w:rPr>
              <w:t>提供复印件</w:t>
            </w:r>
          </w:p>
          <w:p w14:paraId="712D4E79">
            <w:pPr>
              <w:adjustRightInd w:val="0"/>
              <w:snapToGrid w:val="0"/>
              <w:spacing w:line="360" w:lineRule="exact"/>
              <w:rPr>
                <w:rFonts w:ascii="宋体" w:hAnsi="宋体" w:cs="宋体"/>
                <w:bCs/>
                <w:color w:val="000000" w:themeColor="text1"/>
                <w:sz w:val="22"/>
                <w:szCs w:val="22"/>
                <w14:textFill>
                  <w14:solidFill>
                    <w14:schemeClr w14:val="tx1"/>
                  </w14:solidFill>
                </w14:textFill>
              </w:rPr>
            </w:pPr>
          </w:p>
        </w:tc>
      </w:tr>
      <w:tr w14:paraId="35C35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5" w:type="pct"/>
            <w:vMerge w:val="restart"/>
          </w:tcPr>
          <w:p w14:paraId="5CBAE652">
            <w:pPr>
              <w:adjustRightInd w:val="0"/>
              <w:snapToGrid w:val="0"/>
              <w:spacing w:line="360" w:lineRule="exact"/>
              <w:rPr>
                <w:rFonts w:ascii="宋体" w:hAnsi="宋体" w:cs="宋体"/>
                <w:bCs/>
                <w:color w:val="000000" w:themeColor="text1"/>
                <w:sz w:val="22"/>
                <w:szCs w:val="22"/>
                <w14:textFill>
                  <w14:solidFill>
                    <w14:schemeClr w14:val="tx1"/>
                  </w14:solidFill>
                </w14:textFill>
              </w:rPr>
            </w:pPr>
          </w:p>
        </w:tc>
        <w:tc>
          <w:tcPr>
            <w:tcW w:w="1860" w:type="pct"/>
          </w:tcPr>
          <w:p w14:paraId="084F5216">
            <w:pPr>
              <w:adjustRightInd w:val="0"/>
              <w:snapToGrid w:val="0"/>
              <w:spacing w:line="360" w:lineRule="exact"/>
              <w:rPr>
                <w:rFonts w:ascii="宋体" w:hAnsi="宋体" w:cs="宋体"/>
                <w:bCs/>
                <w:color w:val="000000" w:themeColor="text1"/>
                <w:sz w:val="22"/>
                <w:szCs w:val="22"/>
                <w14:textFill>
                  <w14:solidFill>
                    <w14:schemeClr w14:val="tx1"/>
                  </w14:solidFill>
                </w14:textFill>
              </w:rPr>
            </w:pPr>
            <w:r>
              <w:rPr>
                <w:rFonts w:hint="eastAsia" w:ascii="宋体" w:hAnsi="宋体" w:cs="宋体"/>
                <w:bCs/>
                <w:color w:val="000000" w:themeColor="text1"/>
                <w:sz w:val="22"/>
                <w:szCs w:val="22"/>
                <w14:textFill>
                  <w14:solidFill>
                    <w14:schemeClr w14:val="tx1"/>
                  </w14:solidFill>
                </w14:textFill>
              </w:rPr>
              <w:t>1.证书名称</w:t>
            </w:r>
            <w:r>
              <w:rPr>
                <w:rFonts w:hint="eastAsia" w:ascii="宋体" w:hAnsi="宋体" w:cs="宋体"/>
                <w:bCs/>
                <w:color w:val="000000" w:themeColor="text1"/>
                <w:sz w:val="22"/>
                <w:szCs w:val="22"/>
                <w14:textFill>
                  <w14:solidFill>
                    <w14:schemeClr w14:val="tx1"/>
                  </w14:solidFill>
                </w14:textFill>
              </w:rPr>
              <w:tab/>
            </w:r>
          </w:p>
        </w:tc>
        <w:tc>
          <w:tcPr>
            <w:tcW w:w="1907" w:type="pct"/>
          </w:tcPr>
          <w:p w14:paraId="6335BF6F">
            <w:pPr>
              <w:adjustRightInd w:val="0"/>
              <w:snapToGrid w:val="0"/>
              <w:spacing w:line="360" w:lineRule="exact"/>
              <w:rPr>
                <w:rFonts w:ascii="宋体" w:hAnsi="宋体" w:cs="宋体"/>
                <w:bCs/>
                <w:color w:val="000000" w:themeColor="text1"/>
                <w:sz w:val="22"/>
                <w:szCs w:val="22"/>
                <w14:textFill>
                  <w14:solidFill>
                    <w14:schemeClr w14:val="tx1"/>
                  </w14:solidFill>
                </w14:textFill>
              </w:rPr>
            </w:pPr>
          </w:p>
        </w:tc>
        <w:tc>
          <w:tcPr>
            <w:tcW w:w="756" w:type="pct"/>
            <w:vMerge w:val="continue"/>
          </w:tcPr>
          <w:p w14:paraId="7BF5090E">
            <w:pPr>
              <w:adjustRightInd w:val="0"/>
              <w:snapToGrid w:val="0"/>
              <w:spacing w:line="360" w:lineRule="exact"/>
              <w:rPr>
                <w:rFonts w:ascii="宋体" w:hAnsi="宋体" w:cs="宋体"/>
                <w:bCs/>
                <w:color w:val="000000" w:themeColor="text1"/>
                <w:sz w:val="22"/>
                <w:szCs w:val="22"/>
                <w14:textFill>
                  <w14:solidFill>
                    <w14:schemeClr w14:val="tx1"/>
                  </w14:solidFill>
                </w14:textFill>
              </w:rPr>
            </w:pPr>
          </w:p>
        </w:tc>
      </w:tr>
      <w:tr w14:paraId="21876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5" w:type="pct"/>
            <w:vMerge w:val="continue"/>
          </w:tcPr>
          <w:p w14:paraId="37EED79F">
            <w:pPr>
              <w:adjustRightInd w:val="0"/>
              <w:snapToGrid w:val="0"/>
              <w:spacing w:line="360" w:lineRule="exact"/>
              <w:rPr>
                <w:rFonts w:ascii="宋体" w:hAnsi="宋体" w:cs="宋体"/>
                <w:bCs/>
                <w:color w:val="000000" w:themeColor="text1"/>
                <w:sz w:val="22"/>
                <w:szCs w:val="22"/>
                <w14:textFill>
                  <w14:solidFill>
                    <w14:schemeClr w14:val="tx1"/>
                  </w14:solidFill>
                </w14:textFill>
              </w:rPr>
            </w:pPr>
          </w:p>
        </w:tc>
        <w:tc>
          <w:tcPr>
            <w:tcW w:w="1860" w:type="pct"/>
          </w:tcPr>
          <w:p w14:paraId="4C74E089">
            <w:pPr>
              <w:adjustRightInd w:val="0"/>
              <w:snapToGrid w:val="0"/>
              <w:spacing w:line="360" w:lineRule="exact"/>
              <w:rPr>
                <w:rFonts w:ascii="宋体" w:hAnsi="宋体" w:cs="宋体"/>
                <w:bCs/>
                <w:color w:val="000000" w:themeColor="text1"/>
                <w:sz w:val="22"/>
                <w:szCs w:val="22"/>
                <w14:textFill>
                  <w14:solidFill>
                    <w14:schemeClr w14:val="tx1"/>
                  </w14:solidFill>
                </w14:textFill>
              </w:rPr>
            </w:pPr>
            <w:r>
              <w:rPr>
                <w:rFonts w:hint="eastAsia" w:ascii="宋体" w:hAnsi="宋体" w:cs="宋体"/>
                <w:bCs/>
                <w:color w:val="000000" w:themeColor="text1"/>
                <w:sz w:val="22"/>
                <w:szCs w:val="22"/>
                <w14:textFill>
                  <w14:solidFill>
                    <w14:schemeClr w14:val="tx1"/>
                  </w14:solidFill>
                </w14:textFill>
              </w:rPr>
              <w:t>2.批准单位</w:t>
            </w:r>
          </w:p>
        </w:tc>
        <w:tc>
          <w:tcPr>
            <w:tcW w:w="1907" w:type="pct"/>
          </w:tcPr>
          <w:p w14:paraId="4F10B2CA">
            <w:pPr>
              <w:adjustRightInd w:val="0"/>
              <w:snapToGrid w:val="0"/>
              <w:spacing w:line="360" w:lineRule="exact"/>
              <w:rPr>
                <w:rFonts w:ascii="宋体" w:hAnsi="宋体" w:cs="宋体"/>
                <w:bCs/>
                <w:color w:val="000000" w:themeColor="text1"/>
                <w:sz w:val="22"/>
                <w:szCs w:val="22"/>
                <w14:textFill>
                  <w14:solidFill>
                    <w14:schemeClr w14:val="tx1"/>
                  </w14:solidFill>
                </w14:textFill>
              </w:rPr>
            </w:pPr>
          </w:p>
        </w:tc>
        <w:tc>
          <w:tcPr>
            <w:tcW w:w="756" w:type="pct"/>
            <w:vMerge w:val="continue"/>
          </w:tcPr>
          <w:p w14:paraId="0C479225">
            <w:pPr>
              <w:adjustRightInd w:val="0"/>
              <w:snapToGrid w:val="0"/>
              <w:spacing w:line="360" w:lineRule="exact"/>
              <w:rPr>
                <w:rFonts w:ascii="宋体" w:hAnsi="宋体" w:cs="宋体"/>
                <w:bCs/>
                <w:color w:val="000000" w:themeColor="text1"/>
                <w:sz w:val="22"/>
                <w:szCs w:val="22"/>
                <w14:textFill>
                  <w14:solidFill>
                    <w14:schemeClr w14:val="tx1"/>
                  </w14:solidFill>
                </w14:textFill>
              </w:rPr>
            </w:pPr>
          </w:p>
        </w:tc>
      </w:tr>
      <w:tr w14:paraId="5ABB7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5" w:type="pct"/>
            <w:vMerge w:val="continue"/>
          </w:tcPr>
          <w:p w14:paraId="02EFEEDC">
            <w:pPr>
              <w:adjustRightInd w:val="0"/>
              <w:snapToGrid w:val="0"/>
              <w:spacing w:line="360" w:lineRule="exact"/>
              <w:rPr>
                <w:rFonts w:ascii="宋体" w:hAnsi="宋体" w:cs="宋体"/>
                <w:bCs/>
                <w:color w:val="000000" w:themeColor="text1"/>
                <w:sz w:val="22"/>
                <w:szCs w:val="22"/>
                <w14:textFill>
                  <w14:solidFill>
                    <w14:schemeClr w14:val="tx1"/>
                  </w14:solidFill>
                </w14:textFill>
              </w:rPr>
            </w:pPr>
          </w:p>
        </w:tc>
        <w:tc>
          <w:tcPr>
            <w:tcW w:w="1860" w:type="pct"/>
          </w:tcPr>
          <w:p w14:paraId="54E8D39B">
            <w:pPr>
              <w:adjustRightInd w:val="0"/>
              <w:snapToGrid w:val="0"/>
              <w:spacing w:line="360" w:lineRule="exact"/>
              <w:rPr>
                <w:rFonts w:ascii="宋体" w:hAnsi="宋体" w:cs="宋体"/>
                <w:bCs/>
                <w:color w:val="000000" w:themeColor="text1"/>
                <w:sz w:val="22"/>
                <w:szCs w:val="22"/>
                <w14:textFill>
                  <w14:solidFill>
                    <w14:schemeClr w14:val="tx1"/>
                  </w14:solidFill>
                </w14:textFill>
              </w:rPr>
            </w:pPr>
            <w:r>
              <w:rPr>
                <w:rFonts w:hint="eastAsia" w:ascii="宋体" w:hAnsi="宋体" w:cs="宋体"/>
                <w:bCs/>
                <w:color w:val="000000" w:themeColor="text1"/>
                <w:sz w:val="22"/>
                <w:szCs w:val="22"/>
                <w14:textFill>
                  <w14:solidFill>
                    <w14:schemeClr w14:val="tx1"/>
                  </w14:solidFill>
                </w14:textFill>
              </w:rPr>
              <w:t>3.等级</w:t>
            </w:r>
          </w:p>
        </w:tc>
        <w:tc>
          <w:tcPr>
            <w:tcW w:w="1907" w:type="pct"/>
          </w:tcPr>
          <w:p w14:paraId="58DC2593">
            <w:pPr>
              <w:adjustRightInd w:val="0"/>
              <w:snapToGrid w:val="0"/>
              <w:spacing w:line="360" w:lineRule="exact"/>
              <w:rPr>
                <w:rFonts w:ascii="宋体" w:hAnsi="宋体" w:cs="宋体"/>
                <w:bCs/>
                <w:color w:val="000000" w:themeColor="text1"/>
                <w:sz w:val="22"/>
                <w:szCs w:val="22"/>
                <w14:textFill>
                  <w14:solidFill>
                    <w14:schemeClr w14:val="tx1"/>
                  </w14:solidFill>
                </w14:textFill>
              </w:rPr>
            </w:pPr>
          </w:p>
        </w:tc>
        <w:tc>
          <w:tcPr>
            <w:tcW w:w="756" w:type="pct"/>
            <w:vMerge w:val="continue"/>
          </w:tcPr>
          <w:p w14:paraId="054F04C1">
            <w:pPr>
              <w:adjustRightInd w:val="0"/>
              <w:snapToGrid w:val="0"/>
              <w:spacing w:line="360" w:lineRule="exact"/>
              <w:rPr>
                <w:rFonts w:ascii="宋体" w:hAnsi="宋体" w:cs="宋体"/>
                <w:bCs/>
                <w:color w:val="000000" w:themeColor="text1"/>
                <w:sz w:val="22"/>
                <w:szCs w:val="22"/>
                <w14:textFill>
                  <w14:solidFill>
                    <w14:schemeClr w14:val="tx1"/>
                  </w14:solidFill>
                </w14:textFill>
              </w:rPr>
            </w:pPr>
          </w:p>
        </w:tc>
      </w:tr>
      <w:tr w14:paraId="29C4C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5" w:type="pct"/>
            <w:vMerge w:val="continue"/>
          </w:tcPr>
          <w:p w14:paraId="0300B253">
            <w:pPr>
              <w:adjustRightInd w:val="0"/>
              <w:snapToGrid w:val="0"/>
              <w:spacing w:line="360" w:lineRule="exact"/>
              <w:rPr>
                <w:rFonts w:ascii="宋体" w:hAnsi="宋体" w:cs="宋体"/>
                <w:bCs/>
                <w:color w:val="000000" w:themeColor="text1"/>
                <w:sz w:val="22"/>
                <w:szCs w:val="22"/>
                <w14:textFill>
                  <w14:solidFill>
                    <w14:schemeClr w14:val="tx1"/>
                  </w14:solidFill>
                </w14:textFill>
              </w:rPr>
            </w:pPr>
          </w:p>
        </w:tc>
        <w:tc>
          <w:tcPr>
            <w:tcW w:w="1860" w:type="pct"/>
          </w:tcPr>
          <w:p w14:paraId="00B064F2">
            <w:pPr>
              <w:adjustRightInd w:val="0"/>
              <w:snapToGrid w:val="0"/>
              <w:spacing w:line="360" w:lineRule="exact"/>
              <w:rPr>
                <w:rFonts w:ascii="宋体" w:hAnsi="宋体" w:cs="宋体"/>
                <w:bCs/>
                <w:color w:val="000000" w:themeColor="text1"/>
                <w:sz w:val="22"/>
                <w:szCs w:val="22"/>
                <w14:textFill>
                  <w14:solidFill>
                    <w14:schemeClr w14:val="tx1"/>
                  </w14:solidFill>
                </w14:textFill>
              </w:rPr>
            </w:pPr>
            <w:r>
              <w:rPr>
                <w:rFonts w:hint="eastAsia" w:ascii="宋体" w:hAnsi="宋体" w:cs="宋体"/>
                <w:bCs/>
                <w:color w:val="000000" w:themeColor="text1"/>
                <w:sz w:val="22"/>
                <w:szCs w:val="22"/>
                <w14:textFill>
                  <w14:solidFill>
                    <w14:schemeClr w14:val="tx1"/>
                  </w14:solidFill>
                </w14:textFill>
              </w:rPr>
              <w:t>4.批准时间及编号</w:t>
            </w:r>
          </w:p>
        </w:tc>
        <w:tc>
          <w:tcPr>
            <w:tcW w:w="1907" w:type="pct"/>
          </w:tcPr>
          <w:p w14:paraId="6B2FF3C3">
            <w:pPr>
              <w:adjustRightInd w:val="0"/>
              <w:snapToGrid w:val="0"/>
              <w:spacing w:line="360" w:lineRule="exact"/>
              <w:rPr>
                <w:rFonts w:ascii="宋体" w:hAnsi="宋体" w:cs="宋体"/>
                <w:bCs/>
                <w:color w:val="000000" w:themeColor="text1"/>
                <w:sz w:val="22"/>
                <w:szCs w:val="22"/>
                <w14:textFill>
                  <w14:solidFill>
                    <w14:schemeClr w14:val="tx1"/>
                  </w14:solidFill>
                </w14:textFill>
              </w:rPr>
            </w:pPr>
          </w:p>
        </w:tc>
        <w:tc>
          <w:tcPr>
            <w:tcW w:w="756" w:type="pct"/>
            <w:vMerge w:val="continue"/>
          </w:tcPr>
          <w:p w14:paraId="0929B6B4">
            <w:pPr>
              <w:adjustRightInd w:val="0"/>
              <w:snapToGrid w:val="0"/>
              <w:spacing w:line="360" w:lineRule="exact"/>
              <w:rPr>
                <w:rFonts w:ascii="宋体" w:hAnsi="宋体" w:cs="宋体"/>
                <w:bCs/>
                <w:color w:val="000000" w:themeColor="text1"/>
                <w:sz w:val="22"/>
                <w:szCs w:val="22"/>
                <w14:textFill>
                  <w14:solidFill>
                    <w14:schemeClr w14:val="tx1"/>
                  </w14:solidFill>
                </w14:textFill>
              </w:rPr>
            </w:pPr>
          </w:p>
        </w:tc>
      </w:tr>
      <w:tr w14:paraId="55613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5" w:type="pct"/>
            <w:vMerge w:val="continue"/>
          </w:tcPr>
          <w:p w14:paraId="6D8B0F9C">
            <w:pPr>
              <w:adjustRightInd w:val="0"/>
              <w:snapToGrid w:val="0"/>
              <w:spacing w:line="360" w:lineRule="exact"/>
              <w:rPr>
                <w:rFonts w:ascii="宋体" w:hAnsi="宋体" w:cs="宋体"/>
                <w:bCs/>
                <w:color w:val="000000" w:themeColor="text1"/>
                <w:sz w:val="22"/>
                <w:szCs w:val="22"/>
                <w14:textFill>
                  <w14:solidFill>
                    <w14:schemeClr w14:val="tx1"/>
                  </w14:solidFill>
                </w14:textFill>
              </w:rPr>
            </w:pPr>
          </w:p>
        </w:tc>
        <w:tc>
          <w:tcPr>
            <w:tcW w:w="1860" w:type="pct"/>
          </w:tcPr>
          <w:p w14:paraId="2878B07C">
            <w:pPr>
              <w:adjustRightInd w:val="0"/>
              <w:snapToGrid w:val="0"/>
              <w:spacing w:line="360" w:lineRule="exact"/>
              <w:rPr>
                <w:rFonts w:ascii="宋体" w:hAnsi="宋体" w:cs="宋体"/>
                <w:bCs/>
                <w:color w:val="000000" w:themeColor="text1"/>
                <w:sz w:val="22"/>
                <w:szCs w:val="22"/>
                <w14:textFill>
                  <w14:solidFill>
                    <w14:schemeClr w14:val="tx1"/>
                  </w14:solidFill>
                </w14:textFill>
              </w:rPr>
            </w:pPr>
            <w:r>
              <w:rPr>
                <w:rFonts w:hint="eastAsia" w:ascii="宋体" w:hAnsi="宋体" w:cs="宋体"/>
                <w:bCs/>
                <w:color w:val="000000" w:themeColor="text1"/>
                <w:sz w:val="22"/>
                <w:szCs w:val="22"/>
                <w14:textFill>
                  <w14:solidFill>
                    <w14:schemeClr w14:val="tx1"/>
                  </w14:solidFill>
                </w14:textFill>
              </w:rPr>
              <w:t>5.有效期</w:t>
            </w:r>
            <w:r>
              <w:rPr>
                <w:rFonts w:hint="eastAsia" w:ascii="宋体" w:hAnsi="宋体" w:cs="宋体"/>
                <w:bCs/>
                <w:color w:val="000000" w:themeColor="text1"/>
                <w:sz w:val="22"/>
                <w:szCs w:val="22"/>
                <w14:textFill>
                  <w14:solidFill>
                    <w14:schemeClr w14:val="tx1"/>
                  </w14:solidFill>
                </w14:textFill>
              </w:rPr>
              <w:tab/>
            </w:r>
          </w:p>
        </w:tc>
        <w:tc>
          <w:tcPr>
            <w:tcW w:w="1907" w:type="pct"/>
          </w:tcPr>
          <w:p w14:paraId="1EAEB616">
            <w:pPr>
              <w:adjustRightInd w:val="0"/>
              <w:snapToGrid w:val="0"/>
              <w:spacing w:line="360" w:lineRule="exact"/>
              <w:rPr>
                <w:rFonts w:ascii="宋体" w:hAnsi="宋体" w:cs="宋体"/>
                <w:bCs/>
                <w:color w:val="000000" w:themeColor="text1"/>
                <w:sz w:val="22"/>
                <w:szCs w:val="22"/>
                <w14:textFill>
                  <w14:solidFill>
                    <w14:schemeClr w14:val="tx1"/>
                  </w14:solidFill>
                </w14:textFill>
              </w:rPr>
            </w:pPr>
          </w:p>
        </w:tc>
        <w:tc>
          <w:tcPr>
            <w:tcW w:w="756" w:type="pct"/>
            <w:vMerge w:val="continue"/>
          </w:tcPr>
          <w:p w14:paraId="02C6C750">
            <w:pPr>
              <w:adjustRightInd w:val="0"/>
              <w:snapToGrid w:val="0"/>
              <w:spacing w:line="360" w:lineRule="exact"/>
              <w:rPr>
                <w:rFonts w:ascii="宋体" w:hAnsi="宋体" w:cs="宋体"/>
                <w:bCs/>
                <w:color w:val="000000" w:themeColor="text1"/>
                <w:sz w:val="22"/>
                <w:szCs w:val="22"/>
                <w14:textFill>
                  <w14:solidFill>
                    <w14:schemeClr w14:val="tx1"/>
                  </w14:solidFill>
                </w14:textFill>
              </w:rPr>
            </w:pPr>
          </w:p>
        </w:tc>
      </w:tr>
      <w:tr w14:paraId="17AA2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5" w:type="pct"/>
          </w:tcPr>
          <w:p w14:paraId="3A429686">
            <w:pPr>
              <w:adjustRightInd w:val="0"/>
              <w:snapToGrid w:val="0"/>
              <w:spacing w:line="360" w:lineRule="exact"/>
              <w:rPr>
                <w:rFonts w:ascii="宋体" w:hAnsi="宋体" w:cs="宋体"/>
                <w:bCs/>
                <w:color w:val="000000" w:themeColor="text1"/>
                <w:sz w:val="22"/>
                <w:szCs w:val="22"/>
                <w14:textFill>
                  <w14:solidFill>
                    <w14:schemeClr w14:val="tx1"/>
                  </w14:solidFill>
                </w14:textFill>
              </w:rPr>
            </w:pPr>
            <w:r>
              <w:rPr>
                <w:rFonts w:hint="eastAsia" w:ascii="宋体" w:hAnsi="宋体" w:cs="宋体"/>
                <w:bCs/>
                <w:color w:val="000000" w:themeColor="text1"/>
                <w:sz w:val="22"/>
                <w:szCs w:val="22"/>
                <w14:textFill>
                  <w14:solidFill>
                    <w14:schemeClr w14:val="tx1"/>
                  </w14:solidFill>
                </w14:textFill>
              </w:rPr>
              <w:t>四</w:t>
            </w:r>
          </w:p>
        </w:tc>
        <w:tc>
          <w:tcPr>
            <w:tcW w:w="1860" w:type="pct"/>
          </w:tcPr>
          <w:p w14:paraId="04CCBF64">
            <w:pPr>
              <w:adjustRightInd w:val="0"/>
              <w:snapToGrid w:val="0"/>
              <w:spacing w:line="360" w:lineRule="exact"/>
              <w:rPr>
                <w:rFonts w:ascii="宋体" w:hAnsi="宋体" w:cs="宋体"/>
                <w:bCs/>
                <w:color w:val="000000" w:themeColor="text1"/>
                <w:sz w:val="22"/>
                <w:szCs w:val="22"/>
                <w14:textFill>
                  <w14:solidFill>
                    <w14:schemeClr w14:val="tx1"/>
                  </w14:solidFill>
                </w14:textFill>
              </w:rPr>
            </w:pPr>
            <w:r>
              <w:rPr>
                <w:rFonts w:hint="eastAsia" w:ascii="宋体" w:hAnsi="宋体" w:cs="宋体"/>
                <w:bCs/>
                <w:color w:val="000000" w:themeColor="text1"/>
                <w:sz w:val="22"/>
                <w:szCs w:val="22"/>
                <w14:textFill>
                  <w14:solidFill>
                    <w14:schemeClr w14:val="tx1"/>
                  </w14:solidFill>
                </w14:textFill>
              </w:rPr>
              <w:t>其他</w:t>
            </w:r>
          </w:p>
        </w:tc>
        <w:tc>
          <w:tcPr>
            <w:tcW w:w="1907" w:type="pct"/>
          </w:tcPr>
          <w:p w14:paraId="272F5709">
            <w:pPr>
              <w:adjustRightInd w:val="0"/>
              <w:snapToGrid w:val="0"/>
              <w:spacing w:line="360" w:lineRule="exact"/>
              <w:rPr>
                <w:rFonts w:ascii="宋体" w:hAnsi="宋体" w:cs="宋体"/>
                <w:bCs/>
                <w:color w:val="000000" w:themeColor="text1"/>
                <w:sz w:val="22"/>
                <w:szCs w:val="22"/>
                <w14:textFill>
                  <w14:solidFill>
                    <w14:schemeClr w14:val="tx1"/>
                  </w14:solidFill>
                </w14:textFill>
              </w:rPr>
            </w:pPr>
            <w:r>
              <w:rPr>
                <w:rFonts w:hint="eastAsia" w:ascii="宋体" w:hAnsi="宋体" w:cs="宋体"/>
                <w:bCs/>
                <w:color w:val="000000" w:themeColor="text1"/>
                <w:sz w:val="22"/>
                <w:szCs w:val="22"/>
                <w14:textFill>
                  <w14:solidFill>
                    <w14:schemeClr w14:val="tx1"/>
                  </w14:solidFill>
                </w14:textFill>
              </w:rPr>
              <w:t>投标人认为需补充的其他说明</w:t>
            </w:r>
          </w:p>
        </w:tc>
        <w:tc>
          <w:tcPr>
            <w:tcW w:w="756" w:type="pct"/>
          </w:tcPr>
          <w:p w14:paraId="0F0486F0">
            <w:pPr>
              <w:adjustRightInd w:val="0"/>
              <w:snapToGrid w:val="0"/>
              <w:spacing w:line="360" w:lineRule="exact"/>
              <w:rPr>
                <w:rFonts w:ascii="宋体" w:hAnsi="宋体" w:cs="宋体"/>
                <w:bCs/>
                <w:color w:val="000000" w:themeColor="text1"/>
                <w:sz w:val="22"/>
                <w:szCs w:val="22"/>
                <w14:textFill>
                  <w14:solidFill>
                    <w14:schemeClr w14:val="tx1"/>
                  </w14:solidFill>
                </w14:textFill>
              </w:rPr>
            </w:pPr>
          </w:p>
        </w:tc>
      </w:tr>
      <w:tr w14:paraId="003EC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5" w:type="pct"/>
          </w:tcPr>
          <w:p w14:paraId="4B56077E">
            <w:pPr>
              <w:adjustRightInd w:val="0"/>
              <w:snapToGrid w:val="0"/>
              <w:spacing w:line="360" w:lineRule="exact"/>
              <w:rPr>
                <w:rFonts w:ascii="宋体" w:hAnsi="宋体" w:cs="宋体"/>
                <w:bCs/>
                <w:color w:val="000000" w:themeColor="text1"/>
                <w:sz w:val="22"/>
                <w:szCs w:val="22"/>
                <w14:textFill>
                  <w14:solidFill>
                    <w14:schemeClr w14:val="tx1"/>
                  </w14:solidFill>
                </w14:textFill>
              </w:rPr>
            </w:pPr>
          </w:p>
        </w:tc>
        <w:tc>
          <w:tcPr>
            <w:tcW w:w="1860" w:type="pct"/>
          </w:tcPr>
          <w:p w14:paraId="32C1AA20">
            <w:pPr>
              <w:adjustRightInd w:val="0"/>
              <w:snapToGrid w:val="0"/>
              <w:spacing w:line="360" w:lineRule="exact"/>
              <w:rPr>
                <w:rFonts w:ascii="宋体" w:hAnsi="宋体" w:cs="宋体"/>
                <w:bCs/>
                <w:color w:val="000000" w:themeColor="text1"/>
                <w:sz w:val="22"/>
                <w:szCs w:val="22"/>
                <w14:textFill>
                  <w14:solidFill>
                    <w14:schemeClr w14:val="tx1"/>
                  </w14:solidFill>
                </w14:textFill>
              </w:rPr>
            </w:pPr>
            <w:r>
              <w:rPr>
                <w:rFonts w:hint="eastAsia" w:ascii="宋体" w:hAnsi="宋体" w:cs="宋体"/>
                <w:bCs/>
                <w:color w:val="000000" w:themeColor="text1"/>
                <w:sz w:val="22"/>
                <w:szCs w:val="22"/>
                <w14:textFill>
                  <w14:solidFill>
                    <w14:schemeClr w14:val="tx1"/>
                  </w14:solidFill>
                </w14:textFill>
              </w:rPr>
              <w:t>1.……………………</w:t>
            </w:r>
          </w:p>
        </w:tc>
        <w:tc>
          <w:tcPr>
            <w:tcW w:w="1907" w:type="pct"/>
          </w:tcPr>
          <w:p w14:paraId="6A3D2649">
            <w:pPr>
              <w:adjustRightInd w:val="0"/>
              <w:snapToGrid w:val="0"/>
              <w:spacing w:line="360" w:lineRule="exact"/>
              <w:rPr>
                <w:rFonts w:ascii="宋体" w:hAnsi="宋体" w:cs="宋体"/>
                <w:bCs/>
                <w:color w:val="000000" w:themeColor="text1"/>
                <w:sz w:val="22"/>
                <w:szCs w:val="22"/>
                <w14:textFill>
                  <w14:solidFill>
                    <w14:schemeClr w14:val="tx1"/>
                  </w14:solidFill>
                </w14:textFill>
              </w:rPr>
            </w:pPr>
          </w:p>
        </w:tc>
        <w:tc>
          <w:tcPr>
            <w:tcW w:w="756" w:type="pct"/>
          </w:tcPr>
          <w:p w14:paraId="26B9EF7E">
            <w:pPr>
              <w:adjustRightInd w:val="0"/>
              <w:snapToGrid w:val="0"/>
              <w:spacing w:line="360" w:lineRule="exact"/>
              <w:rPr>
                <w:rFonts w:ascii="宋体" w:hAnsi="宋体" w:cs="宋体"/>
                <w:bCs/>
                <w:color w:val="000000" w:themeColor="text1"/>
                <w:sz w:val="22"/>
                <w:szCs w:val="22"/>
                <w14:textFill>
                  <w14:solidFill>
                    <w14:schemeClr w14:val="tx1"/>
                  </w14:solidFill>
                </w14:textFill>
              </w:rPr>
            </w:pPr>
          </w:p>
        </w:tc>
      </w:tr>
    </w:tbl>
    <w:p w14:paraId="3A02E7D7">
      <w:pPr>
        <w:adjustRightInd w:val="0"/>
        <w:snapToGrid w:val="0"/>
        <w:spacing w:line="360" w:lineRule="exact"/>
        <w:rPr>
          <w:rFonts w:hint="eastAsia" w:ascii="宋体" w:hAnsi="宋体" w:cs="宋体"/>
          <w:bCs/>
          <w:color w:val="000000" w:themeColor="text1"/>
          <w:sz w:val="22"/>
          <w:szCs w:val="22"/>
          <w14:textFill>
            <w14:solidFill>
              <w14:schemeClr w14:val="tx1"/>
            </w14:solidFill>
          </w14:textFill>
        </w:rPr>
      </w:pPr>
      <w:r>
        <w:rPr>
          <w:rFonts w:hint="eastAsia" w:ascii="宋体" w:hAnsi="宋体" w:cs="宋体"/>
          <w:bCs/>
          <w:color w:val="000000" w:themeColor="text1"/>
          <w:sz w:val="22"/>
          <w:szCs w:val="22"/>
          <w14:textFill>
            <w14:solidFill>
              <w14:schemeClr w14:val="tx1"/>
            </w14:solidFill>
          </w14:textFill>
        </w:rPr>
        <w:tab/>
      </w:r>
      <w:r>
        <w:rPr>
          <w:rFonts w:hint="eastAsia" w:ascii="宋体" w:hAnsi="宋体" w:cs="宋体"/>
          <w:bCs/>
          <w:color w:val="000000" w:themeColor="text1"/>
          <w:sz w:val="22"/>
          <w:szCs w:val="22"/>
          <w14:textFill>
            <w14:solidFill>
              <w14:schemeClr w14:val="tx1"/>
            </w14:solidFill>
          </w14:textFill>
        </w:rPr>
        <w:t>注：在按要求填写好此表格后，各投标单位可以用其它的方式，就公司整体情况作出详细的介绍（可以提供相应文字、照片等）。</w:t>
      </w:r>
    </w:p>
    <w:p w14:paraId="1D15EE12">
      <w:pPr>
        <w:numPr>
          <w:ilvl w:val="0"/>
          <w:numId w:val="0"/>
        </w:numPr>
        <w:ind w:left="420" w:leftChars="0" w:firstLine="0" w:firstLineChars="0"/>
        <w:jc w:val="center"/>
        <w:outlineLvl w:val="3"/>
        <w:rPr>
          <w:rFonts w:ascii="宋体" w:hAnsi="宋体" w:cs="宋体"/>
          <w:b/>
          <w:bCs/>
          <w:color w:val="000000" w:themeColor="text1"/>
          <w:sz w:val="32"/>
          <w:highlight w:val="none"/>
          <w14:textFill>
            <w14:solidFill>
              <w14:schemeClr w14:val="tx1"/>
            </w14:solidFill>
          </w14:textFill>
        </w:rPr>
      </w:pPr>
      <w:r>
        <w:rPr>
          <w:rFonts w:hint="eastAsia" w:ascii="宋体" w:hAnsi="宋体" w:cs="宋体"/>
          <w:bCs/>
          <w:color w:val="000000" w:themeColor="text1"/>
          <w:sz w:val="22"/>
          <w:szCs w:val="22"/>
          <w14:textFill>
            <w14:solidFill>
              <w14:schemeClr w14:val="tx1"/>
            </w14:solidFill>
          </w14:textFill>
        </w:rPr>
        <w:br w:type="page"/>
      </w:r>
      <w:r>
        <w:rPr>
          <w:rFonts w:hint="eastAsia" w:ascii="宋体" w:hAnsi="宋体" w:cs="宋体"/>
          <w:b/>
          <w:bCs/>
          <w:color w:val="000000" w:themeColor="text1"/>
          <w:sz w:val="32"/>
          <w:highlight w:val="none"/>
          <w14:textFill>
            <w14:solidFill>
              <w14:schemeClr w14:val="tx1"/>
            </w14:solidFill>
          </w14:textFill>
        </w:rPr>
        <w:t>十</w:t>
      </w:r>
      <w:r>
        <w:rPr>
          <w:rFonts w:hint="eastAsia" w:ascii="宋体" w:hAnsi="宋体" w:cs="宋体"/>
          <w:b/>
          <w:bCs/>
          <w:color w:val="000000" w:themeColor="text1"/>
          <w:sz w:val="32"/>
          <w:highlight w:val="none"/>
          <w:lang w:val="en-US" w:eastAsia="zh-CN"/>
          <w14:textFill>
            <w14:solidFill>
              <w14:schemeClr w14:val="tx1"/>
            </w14:solidFill>
          </w14:textFill>
        </w:rPr>
        <w:t>二</w:t>
      </w:r>
      <w:r>
        <w:rPr>
          <w:rFonts w:hint="eastAsia" w:ascii="宋体" w:hAnsi="宋体" w:cs="宋体"/>
          <w:b/>
          <w:bCs/>
          <w:color w:val="000000" w:themeColor="text1"/>
          <w:sz w:val="32"/>
          <w:highlight w:val="none"/>
          <w14:textFill>
            <w14:solidFill>
              <w14:schemeClr w14:val="tx1"/>
            </w14:solidFill>
          </w14:textFill>
        </w:rPr>
        <w:t>、商务条款偏离表</w:t>
      </w:r>
    </w:p>
    <w:p w14:paraId="27643ED0">
      <w:pPr>
        <w:spacing w:line="360" w:lineRule="exact"/>
        <w:rPr>
          <w:rFonts w:ascii="宋体" w:hAnsi="宋体" w:cs="宋体"/>
          <w:bCs/>
          <w:color w:val="000000" w:themeColor="text1"/>
          <w:sz w:val="22"/>
          <w:szCs w:val="22"/>
          <w:highlight w:val="none"/>
          <w14:textFill>
            <w14:solidFill>
              <w14:schemeClr w14:val="tx1"/>
            </w14:solidFill>
          </w14:textFill>
        </w:rPr>
      </w:pPr>
    </w:p>
    <w:tbl>
      <w:tblPr>
        <w:tblStyle w:val="2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3"/>
        <w:gridCol w:w="2400"/>
        <w:gridCol w:w="2125"/>
        <w:gridCol w:w="1580"/>
        <w:gridCol w:w="1418"/>
      </w:tblGrid>
      <w:tr w14:paraId="29C56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trPr>
        <w:tc>
          <w:tcPr>
            <w:tcW w:w="588" w:type="pct"/>
            <w:tcBorders>
              <w:top w:val="single" w:color="auto" w:sz="4" w:space="0"/>
              <w:left w:val="single" w:color="auto" w:sz="4" w:space="0"/>
              <w:bottom w:val="single" w:color="auto" w:sz="4" w:space="0"/>
              <w:right w:val="single" w:color="auto" w:sz="4" w:space="0"/>
            </w:tcBorders>
            <w:shd w:val="clear" w:color="auto" w:fill="BDD6EE" w:themeFill="accent1" w:themeFillTint="66"/>
            <w:vAlign w:val="center"/>
          </w:tcPr>
          <w:p w14:paraId="07CBA1C3">
            <w:pPr>
              <w:spacing w:line="360" w:lineRule="auto"/>
              <w:jc w:val="center"/>
              <w:rPr>
                <w:rFonts w:ascii="宋体" w:hAnsi="宋体"/>
                <w:b/>
                <w:bCs/>
                <w:color w:val="000000" w:themeColor="text1"/>
                <w:sz w:val="22"/>
                <w:szCs w:val="22"/>
                <w:highlight w:val="none"/>
                <w14:textFill>
                  <w14:solidFill>
                    <w14:schemeClr w14:val="tx1"/>
                  </w14:solidFill>
                </w14:textFill>
              </w:rPr>
            </w:pPr>
            <w:r>
              <w:rPr>
                <w:rFonts w:hint="eastAsia" w:ascii="宋体" w:hAnsi="宋体"/>
                <w:b/>
                <w:bCs/>
                <w:color w:val="000000" w:themeColor="text1"/>
                <w:sz w:val="22"/>
                <w:szCs w:val="22"/>
                <w:highlight w:val="none"/>
                <w14:textFill>
                  <w14:solidFill>
                    <w14:schemeClr w14:val="tx1"/>
                  </w14:solidFill>
                </w14:textFill>
              </w:rPr>
              <w:t>序号</w:t>
            </w:r>
          </w:p>
        </w:tc>
        <w:tc>
          <w:tcPr>
            <w:tcW w:w="1407" w:type="pct"/>
            <w:tcBorders>
              <w:top w:val="single" w:color="auto" w:sz="4" w:space="0"/>
              <w:left w:val="nil"/>
              <w:bottom w:val="single" w:color="auto" w:sz="4" w:space="0"/>
              <w:right w:val="single" w:color="auto" w:sz="4" w:space="0"/>
            </w:tcBorders>
            <w:shd w:val="clear" w:color="auto" w:fill="BDD6EE" w:themeFill="accent1" w:themeFillTint="66"/>
            <w:vAlign w:val="center"/>
          </w:tcPr>
          <w:p w14:paraId="0C4CD623">
            <w:pPr>
              <w:spacing w:line="360" w:lineRule="auto"/>
              <w:jc w:val="center"/>
              <w:rPr>
                <w:rFonts w:ascii="宋体" w:hAnsi="宋体"/>
                <w:b/>
                <w:bCs/>
                <w:color w:val="000000" w:themeColor="text1"/>
                <w:sz w:val="22"/>
                <w:szCs w:val="22"/>
                <w:highlight w:val="none"/>
                <w14:textFill>
                  <w14:solidFill>
                    <w14:schemeClr w14:val="tx1"/>
                  </w14:solidFill>
                </w14:textFill>
              </w:rPr>
            </w:pPr>
            <w:r>
              <w:rPr>
                <w:rFonts w:hint="eastAsia" w:ascii="宋体" w:hAnsi="宋体"/>
                <w:b/>
                <w:bCs/>
                <w:color w:val="000000" w:themeColor="text1"/>
                <w:sz w:val="22"/>
                <w:szCs w:val="22"/>
                <w:highlight w:val="none"/>
                <w14:textFill>
                  <w14:solidFill>
                    <w14:schemeClr w14:val="tx1"/>
                  </w14:solidFill>
                </w14:textFill>
              </w:rPr>
              <w:t>招标文件商务要求</w:t>
            </w:r>
          </w:p>
        </w:tc>
        <w:tc>
          <w:tcPr>
            <w:tcW w:w="1246" w:type="pct"/>
            <w:tcBorders>
              <w:top w:val="single" w:color="auto" w:sz="4" w:space="0"/>
              <w:left w:val="nil"/>
              <w:bottom w:val="single" w:color="auto" w:sz="4" w:space="0"/>
              <w:right w:val="single" w:color="auto" w:sz="4" w:space="0"/>
            </w:tcBorders>
            <w:shd w:val="clear" w:color="auto" w:fill="BDD6EE" w:themeFill="accent1" w:themeFillTint="66"/>
            <w:vAlign w:val="center"/>
          </w:tcPr>
          <w:p w14:paraId="53C48A11">
            <w:pPr>
              <w:spacing w:line="360" w:lineRule="auto"/>
              <w:jc w:val="center"/>
              <w:rPr>
                <w:rFonts w:ascii="宋体" w:hAnsi="宋体"/>
                <w:b/>
                <w:bCs/>
                <w:color w:val="000000" w:themeColor="text1"/>
                <w:sz w:val="22"/>
                <w:szCs w:val="22"/>
                <w:highlight w:val="none"/>
                <w14:textFill>
                  <w14:solidFill>
                    <w14:schemeClr w14:val="tx1"/>
                  </w14:solidFill>
                </w14:textFill>
              </w:rPr>
            </w:pPr>
            <w:r>
              <w:rPr>
                <w:rFonts w:hint="eastAsia" w:ascii="宋体" w:hAnsi="宋体"/>
                <w:b/>
                <w:bCs/>
                <w:color w:val="000000" w:themeColor="text1"/>
                <w:sz w:val="22"/>
                <w:szCs w:val="22"/>
                <w:highlight w:val="none"/>
                <w14:textFill>
                  <w14:solidFill>
                    <w14:schemeClr w14:val="tx1"/>
                  </w14:solidFill>
                </w14:textFill>
              </w:rPr>
              <w:t>投标文件商务响应</w:t>
            </w:r>
          </w:p>
        </w:tc>
        <w:tc>
          <w:tcPr>
            <w:tcW w:w="926" w:type="pct"/>
            <w:tcBorders>
              <w:top w:val="single" w:color="auto" w:sz="4" w:space="0"/>
              <w:left w:val="nil"/>
              <w:bottom w:val="single" w:color="auto" w:sz="4" w:space="0"/>
              <w:right w:val="single" w:color="auto" w:sz="4" w:space="0"/>
            </w:tcBorders>
            <w:shd w:val="clear" w:color="auto" w:fill="BDD6EE" w:themeFill="accent1" w:themeFillTint="66"/>
            <w:vAlign w:val="center"/>
          </w:tcPr>
          <w:p w14:paraId="7E391B61">
            <w:pPr>
              <w:spacing w:line="360" w:lineRule="auto"/>
              <w:jc w:val="center"/>
              <w:rPr>
                <w:rFonts w:ascii="宋体" w:hAnsi="宋体"/>
                <w:b/>
                <w:bCs/>
                <w:color w:val="000000" w:themeColor="text1"/>
                <w:sz w:val="22"/>
                <w:szCs w:val="22"/>
                <w:highlight w:val="none"/>
                <w14:textFill>
                  <w14:solidFill>
                    <w14:schemeClr w14:val="tx1"/>
                  </w14:solidFill>
                </w14:textFill>
              </w:rPr>
            </w:pPr>
            <w:r>
              <w:rPr>
                <w:rFonts w:hint="eastAsia" w:ascii="宋体" w:hAnsi="宋体"/>
                <w:b/>
                <w:bCs/>
                <w:color w:val="000000" w:themeColor="text1"/>
                <w:sz w:val="22"/>
                <w:szCs w:val="22"/>
                <w:highlight w:val="none"/>
                <w14:textFill>
                  <w14:solidFill>
                    <w14:schemeClr w14:val="tx1"/>
                  </w14:solidFill>
                </w14:textFill>
              </w:rPr>
              <w:t>偏离情况</w:t>
            </w:r>
          </w:p>
        </w:tc>
        <w:tc>
          <w:tcPr>
            <w:tcW w:w="831" w:type="pct"/>
            <w:tcBorders>
              <w:top w:val="single" w:color="auto" w:sz="4" w:space="0"/>
              <w:left w:val="nil"/>
              <w:bottom w:val="single" w:color="auto" w:sz="4" w:space="0"/>
              <w:right w:val="single" w:color="auto" w:sz="4" w:space="0"/>
            </w:tcBorders>
            <w:shd w:val="clear" w:color="auto" w:fill="BDD6EE" w:themeFill="accent1" w:themeFillTint="66"/>
            <w:vAlign w:val="center"/>
          </w:tcPr>
          <w:p w14:paraId="32DFB4D2">
            <w:pPr>
              <w:spacing w:line="360" w:lineRule="auto"/>
              <w:jc w:val="center"/>
              <w:rPr>
                <w:rFonts w:ascii="宋体" w:hAnsi="宋体"/>
                <w:b/>
                <w:bCs/>
                <w:color w:val="000000" w:themeColor="text1"/>
                <w:sz w:val="22"/>
                <w:szCs w:val="22"/>
                <w:highlight w:val="none"/>
                <w14:textFill>
                  <w14:solidFill>
                    <w14:schemeClr w14:val="tx1"/>
                  </w14:solidFill>
                </w14:textFill>
              </w:rPr>
            </w:pPr>
            <w:r>
              <w:rPr>
                <w:rFonts w:hint="eastAsia" w:ascii="宋体" w:hAnsi="宋体"/>
                <w:b/>
                <w:bCs/>
                <w:color w:val="000000" w:themeColor="text1"/>
                <w:sz w:val="22"/>
                <w:szCs w:val="22"/>
                <w:highlight w:val="none"/>
                <w14:textFill>
                  <w14:solidFill>
                    <w14:schemeClr w14:val="tx1"/>
                  </w14:solidFill>
                </w14:textFill>
              </w:rPr>
              <w:t>说明</w:t>
            </w:r>
          </w:p>
        </w:tc>
      </w:tr>
      <w:tr w14:paraId="344AC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588" w:type="pct"/>
            <w:tcBorders>
              <w:top w:val="single" w:color="auto" w:sz="4" w:space="0"/>
              <w:left w:val="single" w:color="auto" w:sz="4" w:space="0"/>
              <w:bottom w:val="single" w:color="auto" w:sz="4" w:space="0"/>
              <w:right w:val="single" w:color="auto" w:sz="4" w:space="0"/>
            </w:tcBorders>
          </w:tcPr>
          <w:p w14:paraId="5A9DEE9D">
            <w:pPr>
              <w:spacing w:line="360" w:lineRule="auto"/>
              <w:jc w:val="center"/>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1</w:t>
            </w:r>
          </w:p>
        </w:tc>
        <w:tc>
          <w:tcPr>
            <w:tcW w:w="1407" w:type="pct"/>
            <w:tcBorders>
              <w:top w:val="single" w:color="auto" w:sz="4" w:space="0"/>
              <w:left w:val="nil"/>
              <w:bottom w:val="single" w:color="auto" w:sz="4" w:space="0"/>
              <w:right w:val="single" w:color="auto" w:sz="4" w:space="0"/>
            </w:tcBorders>
          </w:tcPr>
          <w:p w14:paraId="3300E21F">
            <w:pPr>
              <w:spacing w:line="360" w:lineRule="auto"/>
              <w:rPr>
                <w:rFonts w:ascii="宋体" w:hAnsi="宋体"/>
                <w:color w:val="000000" w:themeColor="text1"/>
                <w:sz w:val="22"/>
                <w:szCs w:val="22"/>
                <w:highlight w:val="none"/>
                <w14:textFill>
                  <w14:solidFill>
                    <w14:schemeClr w14:val="tx1"/>
                  </w14:solidFill>
                </w14:textFill>
              </w:rPr>
            </w:pPr>
          </w:p>
        </w:tc>
        <w:tc>
          <w:tcPr>
            <w:tcW w:w="1246" w:type="pct"/>
            <w:tcBorders>
              <w:top w:val="single" w:color="auto" w:sz="4" w:space="0"/>
              <w:left w:val="nil"/>
              <w:bottom w:val="single" w:color="auto" w:sz="4" w:space="0"/>
              <w:right w:val="single" w:color="auto" w:sz="4" w:space="0"/>
            </w:tcBorders>
          </w:tcPr>
          <w:p w14:paraId="7F166A4E">
            <w:pPr>
              <w:spacing w:line="360" w:lineRule="auto"/>
              <w:rPr>
                <w:rFonts w:ascii="宋体" w:hAnsi="宋体"/>
                <w:color w:val="000000" w:themeColor="text1"/>
                <w:sz w:val="22"/>
                <w:szCs w:val="22"/>
                <w:highlight w:val="none"/>
                <w14:textFill>
                  <w14:solidFill>
                    <w14:schemeClr w14:val="tx1"/>
                  </w14:solidFill>
                </w14:textFill>
              </w:rPr>
            </w:pPr>
          </w:p>
        </w:tc>
        <w:tc>
          <w:tcPr>
            <w:tcW w:w="926" w:type="pct"/>
            <w:tcBorders>
              <w:top w:val="single" w:color="auto" w:sz="4" w:space="0"/>
              <w:left w:val="nil"/>
              <w:bottom w:val="single" w:color="auto" w:sz="4" w:space="0"/>
              <w:right w:val="single" w:color="auto" w:sz="4" w:space="0"/>
            </w:tcBorders>
          </w:tcPr>
          <w:p w14:paraId="5732A727">
            <w:pPr>
              <w:spacing w:line="360" w:lineRule="auto"/>
              <w:rPr>
                <w:rFonts w:ascii="宋体" w:hAnsi="宋体"/>
                <w:color w:val="000000" w:themeColor="text1"/>
                <w:sz w:val="22"/>
                <w:szCs w:val="22"/>
                <w:highlight w:val="none"/>
                <w14:textFill>
                  <w14:solidFill>
                    <w14:schemeClr w14:val="tx1"/>
                  </w14:solidFill>
                </w14:textFill>
              </w:rPr>
            </w:pPr>
          </w:p>
        </w:tc>
        <w:tc>
          <w:tcPr>
            <w:tcW w:w="831" w:type="pct"/>
            <w:tcBorders>
              <w:top w:val="single" w:color="auto" w:sz="4" w:space="0"/>
              <w:left w:val="nil"/>
              <w:bottom w:val="single" w:color="auto" w:sz="4" w:space="0"/>
              <w:right w:val="single" w:color="auto" w:sz="4" w:space="0"/>
            </w:tcBorders>
          </w:tcPr>
          <w:p w14:paraId="50434EC9">
            <w:pPr>
              <w:spacing w:line="360" w:lineRule="auto"/>
              <w:rPr>
                <w:rFonts w:ascii="宋体" w:hAnsi="宋体"/>
                <w:color w:val="000000" w:themeColor="text1"/>
                <w:sz w:val="22"/>
                <w:szCs w:val="22"/>
                <w:highlight w:val="none"/>
                <w14:textFill>
                  <w14:solidFill>
                    <w14:schemeClr w14:val="tx1"/>
                  </w14:solidFill>
                </w14:textFill>
              </w:rPr>
            </w:pPr>
          </w:p>
        </w:tc>
      </w:tr>
      <w:tr w14:paraId="2698F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588" w:type="pct"/>
            <w:tcBorders>
              <w:top w:val="single" w:color="auto" w:sz="4" w:space="0"/>
              <w:left w:val="single" w:color="auto" w:sz="4" w:space="0"/>
              <w:bottom w:val="single" w:color="auto" w:sz="4" w:space="0"/>
              <w:right w:val="single" w:color="auto" w:sz="4" w:space="0"/>
            </w:tcBorders>
          </w:tcPr>
          <w:p w14:paraId="5A819FF3">
            <w:pPr>
              <w:spacing w:line="360" w:lineRule="auto"/>
              <w:jc w:val="center"/>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2</w:t>
            </w:r>
          </w:p>
        </w:tc>
        <w:tc>
          <w:tcPr>
            <w:tcW w:w="1407" w:type="pct"/>
            <w:tcBorders>
              <w:top w:val="single" w:color="auto" w:sz="4" w:space="0"/>
              <w:left w:val="nil"/>
              <w:bottom w:val="single" w:color="auto" w:sz="4" w:space="0"/>
              <w:right w:val="single" w:color="auto" w:sz="4" w:space="0"/>
            </w:tcBorders>
          </w:tcPr>
          <w:p w14:paraId="45FE98AB">
            <w:pPr>
              <w:spacing w:line="360" w:lineRule="auto"/>
              <w:rPr>
                <w:rFonts w:ascii="宋体" w:hAnsi="宋体"/>
                <w:color w:val="000000" w:themeColor="text1"/>
                <w:sz w:val="22"/>
                <w:szCs w:val="22"/>
                <w:highlight w:val="none"/>
                <w14:textFill>
                  <w14:solidFill>
                    <w14:schemeClr w14:val="tx1"/>
                  </w14:solidFill>
                </w14:textFill>
              </w:rPr>
            </w:pPr>
          </w:p>
        </w:tc>
        <w:tc>
          <w:tcPr>
            <w:tcW w:w="1246" w:type="pct"/>
            <w:tcBorders>
              <w:top w:val="single" w:color="auto" w:sz="4" w:space="0"/>
              <w:left w:val="nil"/>
              <w:bottom w:val="single" w:color="auto" w:sz="4" w:space="0"/>
              <w:right w:val="single" w:color="auto" w:sz="4" w:space="0"/>
            </w:tcBorders>
          </w:tcPr>
          <w:p w14:paraId="58F41979">
            <w:pPr>
              <w:spacing w:line="360" w:lineRule="auto"/>
              <w:rPr>
                <w:rFonts w:ascii="宋体" w:hAnsi="宋体"/>
                <w:color w:val="000000" w:themeColor="text1"/>
                <w:sz w:val="22"/>
                <w:szCs w:val="22"/>
                <w:highlight w:val="none"/>
                <w14:textFill>
                  <w14:solidFill>
                    <w14:schemeClr w14:val="tx1"/>
                  </w14:solidFill>
                </w14:textFill>
              </w:rPr>
            </w:pPr>
          </w:p>
        </w:tc>
        <w:tc>
          <w:tcPr>
            <w:tcW w:w="926" w:type="pct"/>
            <w:tcBorders>
              <w:top w:val="single" w:color="auto" w:sz="4" w:space="0"/>
              <w:left w:val="nil"/>
              <w:bottom w:val="single" w:color="auto" w:sz="4" w:space="0"/>
              <w:right w:val="single" w:color="auto" w:sz="4" w:space="0"/>
            </w:tcBorders>
          </w:tcPr>
          <w:p w14:paraId="529F6CAF">
            <w:pPr>
              <w:spacing w:line="360" w:lineRule="auto"/>
              <w:rPr>
                <w:rFonts w:ascii="宋体" w:hAnsi="宋体"/>
                <w:color w:val="000000" w:themeColor="text1"/>
                <w:sz w:val="22"/>
                <w:szCs w:val="22"/>
                <w:highlight w:val="none"/>
                <w14:textFill>
                  <w14:solidFill>
                    <w14:schemeClr w14:val="tx1"/>
                  </w14:solidFill>
                </w14:textFill>
              </w:rPr>
            </w:pPr>
          </w:p>
        </w:tc>
        <w:tc>
          <w:tcPr>
            <w:tcW w:w="831" w:type="pct"/>
            <w:tcBorders>
              <w:top w:val="single" w:color="auto" w:sz="4" w:space="0"/>
              <w:left w:val="nil"/>
              <w:bottom w:val="single" w:color="auto" w:sz="4" w:space="0"/>
              <w:right w:val="single" w:color="auto" w:sz="4" w:space="0"/>
            </w:tcBorders>
          </w:tcPr>
          <w:p w14:paraId="21299A08">
            <w:pPr>
              <w:spacing w:line="360" w:lineRule="auto"/>
              <w:rPr>
                <w:rFonts w:ascii="宋体" w:hAnsi="宋体"/>
                <w:color w:val="000000" w:themeColor="text1"/>
                <w:sz w:val="22"/>
                <w:szCs w:val="22"/>
                <w:highlight w:val="none"/>
                <w14:textFill>
                  <w14:solidFill>
                    <w14:schemeClr w14:val="tx1"/>
                  </w14:solidFill>
                </w14:textFill>
              </w:rPr>
            </w:pPr>
          </w:p>
        </w:tc>
      </w:tr>
      <w:tr w14:paraId="2E68B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588" w:type="pct"/>
            <w:tcBorders>
              <w:top w:val="single" w:color="auto" w:sz="4" w:space="0"/>
              <w:left w:val="single" w:color="auto" w:sz="4" w:space="0"/>
              <w:bottom w:val="single" w:color="auto" w:sz="4" w:space="0"/>
              <w:right w:val="single" w:color="auto" w:sz="4" w:space="0"/>
            </w:tcBorders>
          </w:tcPr>
          <w:p w14:paraId="0D2B6A73">
            <w:pPr>
              <w:spacing w:line="360" w:lineRule="auto"/>
              <w:jc w:val="center"/>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3</w:t>
            </w:r>
          </w:p>
        </w:tc>
        <w:tc>
          <w:tcPr>
            <w:tcW w:w="1407" w:type="pct"/>
            <w:tcBorders>
              <w:top w:val="single" w:color="auto" w:sz="4" w:space="0"/>
              <w:left w:val="nil"/>
              <w:bottom w:val="single" w:color="auto" w:sz="4" w:space="0"/>
              <w:right w:val="single" w:color="auto" w:sz="4" w:space="0"/>
            </w:tcBorders>
          </w:tcPr>
          <w:p w14:paraId="34900A60">
            <w:pPr>
              <w:spacing w:line="360" w:lineRule="auto"/>
              <w:rPr>
                <w:rFonts w:ascii="宋体" w:hAnsi="宋体"/>
                <w:color w:val="000000" w:themeColor="text1"/>
                <w:sz w:val="22"/>
                <w:szCs w:val="22"/>
                <w:highlight w:val="none"/>
                <w14:textFill>
                  <w14:solidFill>
                    <w14:schemeClr w14:val="tx1"/>
                  </w14:solidFill>
                </w14:textFill>
              </w:rPr>
            </w:pPr>
          </w:p>
        </w:tc>
        <w:tc>
          <w:tcPr>
            <w:tcW w:w="1246" w:type="pct"/>
            <w:tcBorders>
              <w:top w:val="single" w:color="auto" w:sz="4" w:space="0"/>
              <w:left w:val="nil"/>
              <w:bottom w:val="single" w:color="auto" w:sz="4" w:space="0"/>
              <w:right w:val="single" w:color="auto" w:sz="4" w:space="0"/>
            </w:tcBorders>
          </w:tcPr>
          <w:p w14:paraId="321C4447">
            <w:pPr>
              <w:spacing w:line="360" w:lineRule="auto"/>
              <w:rPr>
                <w:rFonts w:ascii="宋体" w:hAnsi="宋体"/>
                <w:color w:val="000000" w:themeColor="text1"/>
                <w:sz w:val="22"/>
                <w:szCs w:val="22"/>
                <w:highlight w:val="none"/>
                <w14:textFill>
                  <w14:solidFill>
                    <w14:schemeClr w14:val="tx1"/>
                  </w14:solidFill>
                </w14:textFill>
              </w:rPr>
            </w:pPr>
          </w:p>
        </w:tc>
        <w:tc>
          <w:tcPr>
            <w:tcW w:w="926" w:type="pct"/>
            <w:tcBorders>
              <w:top w:val="single" w:color="auto" w:sz="4" w:space="0"/>
              <w:left w:val="nil"/>
              <w:bottom w:val="single" w:color="auto" w:sz="4" w:space="0"/>
              <w:right w:val="single" w:color="auto" w:sz="4" w:space="0"/>
            </w:tcBorders>
          </w:tcPr>
          <w:p w14:paraId="649F0EAB">
            <w:pPr>
              <w:spacing w:line="360" w:lineRule="auto"/>
              <w:rPr>
                <w:rFonts w:ascii="宋体" w:hAnsi="宋体"/>
                <w:color w:val="000000" w:themeColor="text1"/>
                <w:sz w:val="22"/>
                <w:szCs w:val="22"/>
                <w:highlight w:val="none"/>
                <w14:textFill>
                  <w14:solidFill>
                    <w14:schemeClr w14:val="tx1"/>
                  </w14:solidFill>
                </w14:textFill>
              </w:rPr>
            </w:pPr>
          </w:p>
        </w:tc>
        <w:tc>
          <w:tcPr>
            <w:tcW w:w="831" w:type="pct"/>
            <w:tcBorders>
              <w:top w:val="single" w:color="auto" w:sz="4" w:space="0"/>
              <w:left w:val="nil"/>
              <w:bottom w:val="single" w:color="auto" w:sz="4" w:space="0"/>
              <w:right w:val="single" w:color="auto" w:sz="4" w:space="0"/>
            </w:tcBorders>
          </w:tcPr>
          <w:p w14:paraId="1C9AC36C">
            <w:pPr>
              <w:spacing w:line="360" w:lineRule="auto"/>
              <w:rPr>
                <w:rFonts w:ascii="宋体" w:hAnsi="宋体"/>
                <w:color w:val="000000" w:themeColor="text1"/>
                <w:sz w:val="22"/>
                <w:szCs w:val="22"/>
                <w:highlight w:val="none"/>
                <w14:textFill>
                  <w14:solidFill>
                    <w14:schemeClr w14:val="tx1"/>
                  </w14:solidFill>
                </w14:textFill>
              </w:rPr>
            </w:pPr>
          </w:p>
        </w:tc>
      </w:tr>
      <w:tr w14:paraId="0EA4E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588" w:type="pct"/>
            <w:tcBorders>
              <w:top w:val="single" w:color="auto" w:sz="4" w:space="0"/>
              <w:left w:val="single" w:color="auto" w:sz="4" w:space="0"/>
              <w:bottom w:val="single" w:color="auto" w:sz="4" w:space="0"/>
              <w:right w:val="single" w:color="auto" w:sz="4" w:space="0"/>
            </w:tcBorders>
          </w:tcPr>
          <w:p w14:paraId="63EB1608">
            <w:pPr>
              <w:spacing w:line="360" w:lineRule="auto"/>
              <w:jc w:val="center"/>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w:t>
            </w:r>
          </w:p>
        </w:tc>
        <w:tc>
          <w:tcPr>
            <w:tcW w:w="1407" w:type="pct"/>
            <w:tcBorders>
              <w:top w:val="single" w:color="auto" w:sz="4" w:space="0"/>
              <w:left w:val="nil"/>
              <w:bottom w:val="single" w:color="auto" w:sz="4" w:space="0"/>
              <w:right w:val="single" w:color="auto" w:sz="4" w:space="0"/>
            </w:tcBorders>
          </w:tcPr>
          <w:p w14:paraId="21039135">
            <w:pPr>
              <w:spacing w:line="360" w:lineRule="auto"/>
              <w:rPr>
                <w:rFonts w:ascii="宋体" w:hAnsi="宋体"/>
                <w:color w:val="000000" w:themeColor="text1"/>
                <w:sz w:val="22"/>
                <w:szCs w:val="22"/>
                <w:highlight w:val="none"/>
                <w14:textFill>
                  <w14:solidFill>
                    <w14:schemeClr w14:val="tx1"/>
                  </w14:solidFill>
                </w14:textFill>
              </w:rPr>
            </w:pPr>
          </w:p>
        </w:tc>
        <w:tc>
          <w:tcPr>
            <w:tcW w:w="1246" w:type="pct"/>
            <w:tcBorders>
              <w:top w:val="single" w:color="auto" w:sz="4" w:space="0"/>
              <w:left w:val="nil"/>
              <w:bottom w:val="single" w:color="auto" w:sz="4" w:space="0"/>
              <w:right w:val="single" w:color="auto" w:sz="4" w:space="0"/>
            </w:tcBorders>
          </w:tcPr>
          <w:p w14:paraId="6B9EDDA0">
            <w:pPr>
              <w:spacing w:line="360" w:lineRule="auto"/>
              <w:rPr>
                <w:rFonts w:ascii="宋体" w:hAnsi="宋体"/>
                <w:color w:val="000000" w:themeColor="text1"/>
                <w:sz w:val="22"/>
                <w:szCs w:val="22"/>
                <w:highlight w:val="none"/>
                <w14:textFill>
                  <w14:solidFill>
                    <w14:schemeClr w14:val="tx1"/>
                  </w14:solidFill>
                </w14:textFill>
              </w:rPr>
            </w:pPr>
          </w:p>
        </w:tc>
        <w:tc>
          <w:tcPr>
            <w:tcW w:w="926" w:type="pct"/>
            <w:tcBorders>
              <w:top w:val="single" w:color="auto" w:sz="4" w:space="0"/>
              <w:left w:val="nil"/>
              <w:bottom w:val="single" w:color="auto" w:sz="4" w:space="0"/>
              <w:right w:val="single" w:color="auto" w:sz="4" w:space="0"/>
            </w:tcBorders>
          </w:tcPr>
          <w:p w14:paraId="232C693B">
            <w:pPr>
              <w:spacing w:line="360" w:lineRule="auto"/>
              <w:rPr>
                <w:rFonts w:ascii="宋体" w:hAnsi="宋体"/>
                <w:color w:val="000000" w:themeColor="text1"/>
                <w:sz w:val="22"/>
                <w:szCs w:val="22"/>
                <w:highlight w:val="none"/>
                <w14:textFill>
                  <w14:solidFill>
                    <w14:schemeClr w14:val="tx1"/>
                  </w14:solidFill>
                </w14:textFill>
              </w:rPr>
            </w:pPr>
          </w:p>
        </w:tc>
        <w:tc>
          <w:tcPr>
            <w:tcW w:w="831" w:type="pct"/>
            <w:tcBorders>
              <w:top w:val="single" w:color="auto" w:sz="4" w:space="0"/>
              <w:left w:val="nil"/>
              <w:bottom w:val="single" w:color="auto" w:sz="4" w:space="0"/>
              <w:right w:val="single" w:color="auto" w:sz="4" w:space="0"/>
            </w:tcBorders>
          </w:tcPr>
          <w:p w14:paraId="41A2BA48">
            <w:pPr>
              <w:spacing w:line="360" w:lineRule="auto"/>
              <w:rPr>
                <w:rFonts w:ascii="宋体" w:hAnsi="宋体"/>
                <w:color w:val="000000" w:themeColor="text1"/>
                <w:sz w:val="22"/>
                <w:szCs w:val="22"/>
                <w:highlight w:val="none"/>
                <w14:textFill>
                  <w14:solidFill>
                    <w14:schemeClr w14:val="tx1"/>
                  </w14:solidFill>
                </w14:textFill>
              </w:rPr>
            </w:pPr>
          </w:p>
        </w:tc>
      </w:tr>
    </w:tbl>
    <w:p w14:paraId="6FB64C93">
      <w:pPr>
        <w:spacing w:line="360" w:lineRule="auto"/>
        <w:rPr>
          <w:rFonts w:ascii="宋体" w:hAnsi="宋体"/>
          <w:color w:val="000000" w:themeColor="text1"/>
          <w:sz w:val="22"/>
          <w:szCs w:val="22"/>
          <w:highlight w:val="none"/>
          <w14:textFill>
            <w14:solidFill>
              <w14:schemeClr w14:val="tx1"/>
            </w14:solidFill>
          </w14:textFill>
        </w:rPr>
      </w:pPr>
    </w:p>
    <w:p w14:paraId="34565FCC">
      <w:pPr>
        <w:spacing w:line="360" w:lineRule="auto"/>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注：</w:t>
      </w:r>
    </w:p>
    <w:p w14:paraId="54C547E5">
      <w:pPr>
        <w:numPr>
          <w:ilvl w:val="0"/>
          <w:numId w:val="8"/>
        </w:numPr>
        <w:spacing w:line="360" w:lineRule="auto"/>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投标人必须对应招标文件“第二章招标项目需求”中项目商务要求”逐条响应。</w:t>
      </w:r>
    </w:p>
    <w:p w14:paraId="1CD60125">
      <w:pPr>
        <w:numPr>
          <w:ilvl w:val="0"/>
          <w:numId w:val="8"/>
        </w:numPr>
        <w:spacing w:line="360" w:lineRule="auto"/>
        <w:rPr>
          <w:rFonts w:ascii="宋体" w:hAnsi="宋体" w:cs="宋体"/>
          <w:bCs/>
          <w:color w:val="000000" w:themeColor="text1"/>
          <w:sz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“偏离情况”一栏应如实填写“正偏离”、“负偏离”或“无偏离”。</w:t>
      </w:r>
    </w:p>
    <w:p w14:paraId="4D201598">
      <w:pPr>
        <w:spacing w:line="360" w:lineRule="auto"/>
        <w:rPr>
          <w:rFonts w:ascii="Times New Roman" w:hAnsi="Times New Roman"/>
          <w:color w:val="000000" w:themeColor="text1"/>
          <w:sz w:val="22"/>
          <w:szCs w:val="22"/>
          <w:highlight w:val="none"/>
          <w14:textFill>
            <w14:solidFill>
              <w14:schemeClr w14:val="tx1"/>
            </w14:solidFill>
          </w14:textFill>
        </w:rPr>
      </w:pPr>
    </w:p>
    <w:p w14:paraId="4D5EAD11">
      <w:pPr>
        <w:spacing w:line="360" w:lineRule="auto"/>
        <w:rPr>
          <w:rFonts w:ascii="Times New Roman" w:hAnsi="Times New Roman"/>
          <w:color w:val="000000" w:themeColor="text1"/>
          <w:sz w:val="22"/>
          <w:szCs w:val="22"/>
          <w:highlight w:val="none"/>
          <w14:textFill>
            <w14:solidFill>
              <w14:schemeClr w14:val="tx1"/>
            </w14:solidFill>
          </w14:textFill>
        </w:rPr>
      </w:pPr>
    </w:p>
    <w:p w14:paraId="33580037">
      <w:pPr>
        <w:spacing w:line="360" w:lineRule="auto"/>
        <w:rPr>
          <w:rFonts w:ascii="Times New Roman" w:hAnsi="Times New Roman"/>
          <w:color w:val="000000" w:themeColor="text1"/>
          <w:sz w:val="22"/>
          <w:szCs w:val="22"/>
          <w:highlight w:val="none"/>
          <w14:textFill>
            <w14:solidFill>
              <w14:schemeClr w14:val="tx1"/>
            </w14:solidFill>
          </w14:textFill>
        </w:rPr>
      </w:pPr>
      <w:r>
        <w:rPr>
          <w:rFonts w:hint="eastAsia" w:ascii="Times New Roman" w:hAnsi="Times New Roman"/>
          <w:color w:val="000000" w:themeColor="text1"/>
          <w:sz w:val="22"/>
          <w:szCs w:val="22"/>
          <w:highlight w:val="none"/>
          <w14:textFill>
            <w14:solidFill>
              <w14:schemeClr w14:val="tx1"/>
            </w14:solidFill>
          </w14:textFill>
        </w:rPr>
        <w:t xml:space="preserve">投标人名称（盖章）：                        </w:t>
      </w:r>
    </w:p>
    <w:p w14:paraId="45E805B5">
      <w:pPr>
        <w:spacing w:line="360" w:lineRule="auto"/>
        <w:rPr>
          <w:rFonts w:ascii="Times New Roman" w:hAnsi="Times New Roman"/>
          <w:color w:val="000000" w:themeColor="text1"/>
          <w:sz w:val="22"/>
          <w:szCs w:val="22"/>
          <w:highlight w:val="none"/>
          <w14:textFill>
            <w14:solidFill>
              <w14:schemeClr w14:val="tx1"/>
            </w14:solidFill>
          </w14:textFill>
        </w:rPr>
      </w:pPr>
      <w:r>
        <w:rPr>
          <w:rFonts w:hint="eastAsia" w:ascii="Times New Roman" w:hAnsi="Times New Roman"/>
          <w:color w:val="000000" w:themeColor="text1"/>
          <w:sz w:val="22"/>
          <w:szCs w:val="22"/>
          <w:highlight w:val="none"/>
          <w14:textFill>
            <w14:solidFill>
              <w14:schemeClr w14:val="tx1"/>
            </w14:solidFill>
          </w14:textFill>
        </w:rPr>
        <w:t>日期：   年   月   日</w:t>
      </w:r>
    </w:p>
    <w:p w14:paraId="61FD313A">
      <w:pPr>
        <w:ind w:left="420"/>
        <w:jc w:val="center"/>
        <w:outlineLvl w:val="3"/>
        <w:rPr>
          <w:rFonts w:ascii="宋体" w:hAnsi="宋体" w:cs="宋体"/>
          <w:b/>
          <w:bCs/>
          <w:color w:val="000000" w:themeColor="text1"/>
          <w:sz w:val="32"/>
          <w:szCs w:val="32"/>
          <w:highlight w:val="none"/>
          <w14:textFill>
            <w14:solidFill>
              <w14:schemeClr w14:val="tx1"/>
            </w14:solidFill>
          </w14:textFill>
        </w:rPr>
      </w:pPr>
      <w:r>
        <w:rPr>
          <w:rFonts w:hint="eastAsia" w:ascii="宋体" w:hAnsi="宋体" w:cs="宋体"/>
          <w:bCs/>
          <w:color w:val="000000" w:themeColor="text1"/>
          <w:sz w:val="22"/>
          <w:highlight w:val="none"/>
          <w14:textFill>
            <w14:solidFill>
              <w14:schemeClr w14:val="tx1"/>
            </w14:solidFill>
          </w14:textFill>
        </w:rPr>
        <w:br w:type="page"/>
      </w:r>
      <w:r>
        <w:rPr>
          <w:rFonts w:hint="eastAsia" w:ascii="宋体" w:hAnsi="宋体" w:cs="宋体"/>
          <w:b/>
          <w:bCs/>
          <w:color w:val="000000" w:themeColor="text1"/>
          <w:sz w:val="32"/>
          <w:highlight w:val="none"/>
          <w14:textFill>
            <w14:solidFill>
              <w14:schemeClr w14:val="tx1"/>
            </w14:solidFill>
          </w14:textFill>
        </w:rPr>
        <w:t>十</w:t>
      </w:r>
      <w:r>
        <w:rPr>
          <w:rFonts w:hint="eastAsia" w:ascii="宋体" w:hAnsi="宋体" w:cs="宋体"/>
          <w:b/>
          <w:bCs/>
          <w:color w:val="000000" w:themeColor="text1"/>
          <w:sz w:val="32"/>
          <w:highlight w:val="none"/>
          <w:lang w:val="en-US" w:eastAsia="zh-CN"/>
          <w14:textFill>
            <w14:solidFill>
              <w14:schemeClr w14:val="tx1"/>
            </w14:solidFill>
          </w14:textFill>
        </w:rPr>
        <w:t>三</w:t>
      </w:r>
      <w:r>
        <w:rPr>
          <w:rFonts w:hint="eastAsia" w:ascii="宋体" w:hAnsi="宋体" w:cs="宋体"/>
          <w:bCs/>
          <w:color w:val="000000" w:themeColor="text1"/>
          <w:sz w:val="22"/>
          <w:highlight w:val="none"/>
          <w14:textFill>
            <w14:solidFill>
              <w14:schemeClr w14:val="tx1"/>
            </w14:solidFill>
          </w14:textFill>
        </w:rPr>
        <w:t>、</w:t>
      </w:r>
      <w:r>
        <w:rPr>
          <w:rFonts w:hint="eastAsia" w:ascii="宋体" w:hAnsi="宋体" w:cs="宋体"/>
          <w:b/>
          <w:bCs/>
          <w:color w:val="000000" w:themeColor="text1"/>
          <w:sz w:val="32"/>
          <w:highlight w:val="none"/>
          <w14:textFill>
            <w14:solidFill>
              <w14:schemeClr w14:val="tx1"/>
            </w14:solidFill>
          </w14:textFill>
        </w:rPr>
        <w:t>服务要求偏离表</w:t>
      </w:r>
    </w:p>
    <w:p w14:paraId="1700E1A5">
      <w:pPr>
        <w:spacing w:line="360" w:lineRule="exact"/>
        <w:rPr>
          <w:rFonts w:ascii="宋体" w:hAnsi="宋体" w:cs="宋体"/>
          <w:bCs/>
          <w:color w:val="000000" w:themeColor="text1"/>
          <w:sz w:val="22"/>
          <w:szCs w:val="22"/>
          <w:highlight w:val="none"/>
          <w14:textFill>
            <w14:solidFill>
              <w14:schemeClr w14:val="tx1"/>
            </w14:solidFill>
          </w14:textFill>
        </w:rPr>
      </w:pPr>
    </w:p>
    <w:tbl>
      <w:tblPr>
        <w:tblStyle w:val="2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3"/>
        <w:gridCol w:w="2400"/>
        <w:gridCol w:w="2125"/>
        <w:gridCol w:w="1578"/>
        <w:gridCol w:w="1420"/>
      </w:tblGrid>
      <w:tr w14:paraId="604AB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trPr>
        <w:tc>
          <w:tcPr>
            <w:tcW w:w="588" w:type="pct"/>
            <w:tcBorders>
              <w:top w:val="single" w:color="auto" w:sz="4" w:space="0"/>
              <w:left w:val="single" w:color="auto" w:sz="4" w:space="0"/>
              <w:bottom w:val="single" w:color="auto" w:sz="4" w:space="0"/>
              <w:right w:val="single" w:color="auto" w:sz="4" w:space="0"/>
            </w:tcBorders>
            <w:shd w:val="clear" w:color="auto" w:fill="BDD6EE" w:themeFill="accent1" w:themeFillTint="66"/>
            <w:vAlign w:val="center"/>
          </w:tcPr>
          <w:p w14:paraId="441AD0A1">
            <w:pPr>
              <w:spacing w:line="360" w:lineRule="auto"/>
              <w:jc w:val="center"/>
              <w:rPr>
                <w:rFonts w:ascii="宋体" w:hAnsi="宋体"/>
                <w:b/>
                <w:bCs/>
                <w:color w:val="000000" w:themeColor="text1"/>
                <w:sz w:val="22"/>
                <w:szCs w:val="22"/>
                <w:highlight w:val="none"/>
                <w14:textFill>
                  <w14:solidFill>
                    <w14:schemeClr w14:val="tx1"/>
                  </w14:solidFill>
                </w14:textFill>
              </w:rPr>
            </w:pPr>
            <w:r>
              <w:rPr>
                <w:rFonts w:hint="eastAsia" w:ascii="宋体" w:hAnsi="宋体"/>
                <w:b/>
                <w:bCs/>
                <w:color w:val="000000" w:themeColor="text1"/>
                <w:sz w:val="22"/>
                <w:szCs w:val="22"/>
                <w:highlight w:val="none"/>
                <w14:textFill>
                  <w14:solidFill>
                    <w14:schemeClr w14:val="tx1"/>
                  </w14:solidFill>
                </w14:textFill>
              </w:rPr>
              <w:t>序号</w:t>
            </w:r>
          </w:p>
        </w:tc>
        <w:tc>
          <w:tcPr>
            <w:tcW w:w="1407" w:type="pct"/>
            <w:tcBorders>
              <w:top w:val="single" w:color="auto" w:sz="4" w:space="0"/>
              <w:left w:val="nil"/>
              <w:bottom w:val="single" w:color="auto" w:sz="4" w:space="0"/>
              <w:right w:val="single" w:color="auto" w:sz="4" w:space="0"/>
            </w:tcBorders>
            <w:shd w:val="clear" w:color="auto" w:fill="BDD6EE" w:themeFill="accent1" w:themeFillTint="66"/>
            <w:vAlign w:val="center"/>
          </w:tcPr>
          <w:p w14:paraId="792AC351">
            <w:pPr>
              <w:spacing w:line="360" w:lineRule="auto"/>
              <w:jc w:val="center"/>
              <w:rPr>
                <w:rFonts w:ascii="宋体" w:hAnsi="宋体"/>
                <w:b/>
                <w:bCs/>
                <w:color w:val="000000" w:themeColor="text1"/>
                <w:sz w:val="22"/>
                <w:szCs w:val="22"/>
                <w:highlight w:val="none"/>
                <w14:textFill>
                  <w14:solidFill>
                    <w14:schemeClr w14:val="tx1"/>
                  </w14:solidFill>
                </w14:textFill>
              </w:rPr>
            </w:pPr>
            <w:r>
              <w:rPr>
                <w:rFonts w:hint="eastAsia" w:ascii="宋体" w:hAnsi="宋体"/>
                <w:b/>
                <w:bCs/>
                <w:color w:val="000000" w:themeColor="text1"/>
                <w:sz w:val="22"/>
                <w:szCs w:val="22"/>
                <w:highlight w:val="none"/>
                <w14:textFill>
                  <w14:solidFill>
                    <w14:schemeClr w14:val="tx1"/>
                  </w14:solidFill>
                </w14:textFill>
              </w:rPr>
              <w:t>招标文件服务要求</w:t>
            </w:r>
          </w:p>
        </w:tc>
        <w:tc>
          <w:tcPr>
            <w:tcW w:w="1246" w:type="pct"/>
            <w:tcBorders>
              <w:top w:val="single" w:color="auto" w:sz="4" w:space="0"/>
              <w:left w:val="nil"/>
              <w:bottom w:val="single" w:color="auto" w:sz="4" w:space="0"/>
              <w:right w:val="single" w:color="auto" w:sz="4" w:space="0"/>
            </w:tcBorders>
            <w:shd w:val="clear" w:color="auto" w:fill="BDD6EE" w:themeFill="accent1" w:themeFillTint="66"/>
            <w:vAlign w:val="center"/>
          </w:tcPr>
          <w:p w14:paraId="1C5D2BAF">
            <w:pPr>
              <w:spacing w:line="360" w:lineRule="auto"/>
              <w:jc w:val="center"/>
              <w:rPr>
                <w:rFonts w:ascii="宋体" w:hAnsi="宋体"/>
                <w:b/>
                <w:bCs/>
                <w:color w:val="000000" w:themeColor="text1"/>
                <w:sz w:val="22"/>
                <w:szCs w:val="22"/>
                <w:highlight w:val="none"/>
                <w14:textFill>
                  <w14:solidFill>
                    <w14:schemeClr w14:val="tx1"/>
                  </w14:solidFill>
                </w14:textFill>
              </w:rPr>
            </w:pPr>
            <w:r>
              <w:rPr>
                <w:rFonts w:hint="eastAsia" w:ascii="宋体" w:hAnsi="宋体"/>
                <w:b/>
                <w:bCs/>
                <w:color w:val="000000" w:themeColor="text1"/>
                <w:sz w:val="22"/>
                <w:szCs w:val="22"/>
                <w:highlight w:val="none"/>
                <w14:textFill>
                  <w14:solidFill>
                    <w14:schemeClr w14:val="tx1"/>
                  </w14:solidFill>
                </w14:textFill>
              </w:rPr>
              <w:t>投标文件服务响应</w:t>
            </w:r>
          </w:p>
        </w:tc>
        <w:tc>
          <w:tcPr>
            <w:tcW w:w="925" w:type="pct"/>
            <w:tcBorders>
              <w:top w:val="single" w:color="auto" w:sz="4" w:space="0"/>
              <w:left w:val="nil"/>
              <w:bottom w:val="single" w:color="auto" w:sz="4" w:space="0"/>
              <w:right w:val="single" w:color="auto" w:sz="4" w:space="0"/>
            </w:tcBorders>
            <w:shd w:val="clear" w:color="auto" w:fill="BDD6EE" w:themeFill="accent1" w:themeFillTint="66"/>
            <w:vAlign w:val="center"/>
          </w:tcPr>
          <w:p w14:paraId="29964699">
            <w:pPr>
              <w:spacing w:line="360" w:lineRule="auto"/>
              <w:jc w:val="center"/>
              <w:rPr>
                <w:rFonts w:ascii="宋体" w:hAnsi="宋体"/>
                <w:b/>
                <w:bCs/>
                <w:color w:val="000000" w:themeColor="text1"/>
                <w:sz w:val="22"/>
                <w:szCs w:val="22"/>
                <w:highlight w:val="none"/>
                <w14:textFill>
                  <w14:solidFill>
                    <w14:schemeClr w14:val="tx1"/>
                  </w14:solidFill>
                </w14:textFill>
              </w:rPr>
            </w:pPr>
            <w:r>
              <w:rPr>
                <w:rFonts w:hint="eastAsia" w:ascii="宋体" w:hAnsi="宋体"/>
                <w:b/>
                <w:bCs/>
                <w:color w:val="000000" w:themeColor="text1"/>
                <w:sz w:val="22"/>
                <w:szCs w:val="22"/>
                <w:highlight w:val="none"/>
                <w14:textFill>
                  <w14:solidFill>
                    <w14:schemeClr w14:val="tx1"/>
                  </w14:solidFill>
                </w14:textFill>
              </w:rPr>
              <w:t>偏离情况</w:t>
            </w:r>
          </w:p>
        </w:tc>
        <w:tc>
          <w:tcPr>
            <w:tcW w:w="832" w:type="pct"/>
            <w:tcBorders>
              <w:top w:val="single" w:color="auto" w:sz="4" w:space="0"/>
              <w:left w:val="nil"/>
              <w:bottom w:val="single" w:color="auto" w:sz="4" w:space="0"/>
              <w:right w:val="single" w:color="auto" w:sz="4" w:space="0"/>
            </w:tcBorders>
            <w:shd w:val="clear" w:color="auto" w:fill="BDD6EE" w:themeFill="accent1" w:themeFillTint="66"/>
            <w:vAlign w:val="center"/>
          </w:tcPr>
          <w:p w14:paraId="1114D4AB">
            <w:pPr>
              <w:spacing w:line="360" w:lineRule="auto"/>
              <w:jc w:val="center"/>
              <w:rPr>
                <w:rFonts w:ascii="宋体" w:hAnsi="宋体"/>
                <w:b/>
                <w:bCs/>
                <w:color w:val="000000" w:themeColor="text1"/>
                <w:sz w:val="22"/>
                <w:szCs w:val="22"/>
                <w:highlight w:val="none"/>
                <w14:textFill>
                  <w14:solidFill>
                    <w14:schemeClr w14:val="tx1"/>
                  </w14:solidFill>
                </w14:textFill>
              </w:rPr>
            </w:pPr>
            <w:r>
              <w:rPr>
                <w:rFonts w:hint="eastAsia" w:ascii="宋体" w:hAnsi="宋体"/>
                <w:b/>
                <w:bCs/>
                <w:color w:val="000000" w:themeColor="text1"/>
                <w:sz w:val="22"/>
                <w:szCs w:val="22"/>
                <w:highlight w:val="none"/>
                <w14:textFill>
                  <w14:solidFill>
                    <w14:schemeClr w14:val="tx1"/>
                  </w14:solidFill>
                </w14:textFill>
              </w:rPr>
              <w:t>说明</w:t>
            </w:r>
          </w:p>
        </w:tc>
      </w:tr>
      <w:tr w14:paraId="51531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588" w:type="pct"/>
            <w:tcBorders>
              <w:top w:val="single" w:color="auto" w:sz="4" w:space="0"/>
              <w:left w:val="single" w:color="auto" w:sz="4" w:space="0"/>
              <w:bottom w:val="single" w:color="auto" w:sz="4" w:space="0"/>
              <w:right w:val="single" w:color="auto" w:sz="4" w:space="0"/>
            </w:tcBorders>
          </w:tcPr>
          <w:p w14:paraId="2B6D12BE">
            <w:pPr>
              <w:spacing w:line="360" w:lineRule="auto"/>
              <w:jc w:val="center"/>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1</w:t>
            </w:r>
          </w:p>
        </w:tc>
        <w:tc>
          <w:tcPr>
            <w:tcW w:w="1407" w:type="pct"/>
            <w:tcBorders>
              <w:top w:val="single" w:color="auto" w:sz="4" w:space="0"/>
              <w:left w:val="nil"/>
              <w:bottom w:val="single" w:color="auto" w:sz="4" w:space="0"/>
              <w:right w:val="single" w:color="auto" w:sz="4" w:space="0"/>
            </w:tcBorders>
          </w:tcPr>
          <w:p w14:paraId="1DE73C71">
            <w:pPr>
              <w:spacing w:line="360" w:lineRule="auto"/>
              <w:rPr>
                <w:rFonts w:ascii="宋体" w:hAnsi="宋体"/>
                <w:color w:val="000000" w:themeColor="text1"/>
                <w:sz w:val="22"/>
                <w:szCs w:val="22"/>
                <w:highlight w:val="none"/>
                <w14:textFill>
                  <w14:solidFill>
                    <w14:schemeClr w14:val="tx1"/>
                  </w14:solidFill>
                </w14:textFill>
              </w:rPr>
            </w:pPr>
          </w:p>
        </w:tc>
        <w:tc>
          <w:tcPr>
            <w:tcW w:w="1246" w:type="pct"/>
            <w:tcBorders>
              <w:top w:val="single" w:color="auto" w:sz="4" w:space="0"/>
              <w:left w:val="nil"/>
              <w:bottom w:val="single" w:color="auto" w:sz="4" w:space="0"/>
              <w:right w:val="single" w:color="auto" w:sz="4" w:space="0"/>
            </w:tcBorders>
          </w:tcPr>
          <w:p w14:paraId="62444C50">
            <w:pPr>
              <w:spacing w:line="360" w:lineRule="auto"/>
              <w:rPr>
                <w:rFonts w:ascii="宋体" w:hAnsi="宋体"/>
                <w:color w:val="000000" w:themeColor="text1"/>
                <w:sz w:val="22"/>
                <w:szCs w:val="22"/>
                <w:highlight w:val="none"/>
                <w14:textFill>
                  <w14:solidFill>
                    <w14:schemeClr w14:val="tx1"/>
                  </w14:solidFill>
                </w14:textFill>
              </w:rPr>
            </w:pPr>
          </w:p>
        </w:tc>
        <w:tc>
          <w:tcPr>
            <w:tcW w:w="925" w:type="pct"/>
            <w:tcBorders>
              <w:top w:val="single" w:color="auto" w:sz="4" w:space="0"/>
              <w:left w:val="nil"/>
              <w:bottom w:val="single" w:color="auto" w:sz="4" w:space="0"/>
              <w:right w:val="single" w:color="auto" w:sz="4" w:space="0"/>
            </w:tcBorders>
          </w:tcPr>
          <w:p w14:paraId="2F9A7780">
            <w:pPr>
              <w:spacing w:line="360" w:lineRule="auto"/>
              <w:rPr>
                <w:rFonts w:ascii="宋体" w:hAnsi="宋体"/>
                <w:color w:val="000000" w:themeColor="text1"/>
                <w:sz w:val="22"/>
                <w:szCs w:val="22"/>
                <w:highlight w:val="none"/>
                <w14:textFill>
                  <w14:solidFill>
                    <w14:schemeClr w14:val="tx1"/>
                  </w14:solidFill>
                </w14:textFill>
              </w:rPr>
            </w:pPr>
          </w:p>
        </w:tc>
        <w:tc>
          <w:tcPr>
            <w:tcW w:w="832" w:type="pct"/>
            <w:tcBorders>
              <w:top w:val="single" w:color="auto" w:sz="4" w:space="0"/>
              <w:left w:val="nil"/>
              <w:bottom w:val="single" w:color="auto" w:sz="4" w:space="0"/>
              <w:right w:val="single" w:color="auto" w:sz="4" w:space="0"/>
            </w:tcBorders>
          </w:tcPr>
          <w:p w14:paraId="78AD70DA">
            <w:pPr>
              <w:spacing w:line="360" w:lineRule="auto"/>
              <w:rPr>
                <w:rFonts w:ascii="宋体" w:hAnsi="宋体"/>
                <w:color w:val="000000" w:themeColor="text1"/>
                <w:sz w:val="22"/>
                <w:szCs w:val="22"/>
                <w:highlight w:val="none"/>
                <w14:textFill>
                  <w14:solidFill>
                    <w14:schemeClr w14:val="tx1"/>
                  </w14:solidFill>
                </w14:textFill>
              </w:rPr>
            </w:pPr>
          </w:p>
        </w:tc>
      </w:tr>
      <w:tr w14:paraId="222E0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588" w:type="pct"/>
            <w:tcBorders>
              <w:top w:val="single" w:color="auto" w:sz="4" w:space="0"/>
              <w:left w:val="single" w:color="auto" w:sz="4" w:space="0"/>
              <w:bottom w:val="single" w:color="auto" w:sz="4" w:space="0"/>
              <w:right w:val="single" w:color="auto" w:sz="4" w:space="0"/>
            </w:tcBorders>
          </w:tcPr>
          <w:p w14:paraId="016E0EA7">
            <w:pPr>
              <w:spacing w:line="360" w:lineRule="auto"/>
              <w:jc w:val="center"/>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2</w:t>
            </w:r>
          </w:p>
        </w:tc>
        <w:tc>
          <w:tcPr>
            <w:tcW w:w="1407" w:type="pct"/>
            <w:tcBorders>
              <w:top w:val="single" w:color="auto" w:sz="4" w:space="0"/>
              <w:left w:val="nil"/>
              <w:bottom w:val="single" w:color="auto" w:sz="4" w:space="0"/>
              <w:right w:val="single" w:color="auto" w:sz="4" w:space="0"/>
            </w:tcBorders>
          </w:tcPr>
          <w:p w14:paraId="39866005">
            <w:pPr>
              <w:spacing w:line="360" w:lineRule="auto"/>
              <w:rPr>
                <w:rFonts w:ascii="宋体" w:hAnsi="宋体"/>
                <w:color w:val="000000" w:themeColor="text1"/>
                <w:sz w:val="22"/>
                <w:szCs w:val="22"/>
                <w:highlight w:val="none"/>
                <w14:textFill>
                  <w14:solidFill>
                    <w14:schemeClr w14:val="tx1"/>
                  </w14:solidFill>
                </w14:textFill>
              </w:rPr>
            </w:pPr>
          </w:p>
        </w:tc>
        <w:tc>
          <w:tcPr>
            <w:tcW w:w="1246" w:type="pct"/>
            <w:tcBorders>
              <w:top w:val="single" w:color="auto" w:sz="4" w:space="0"/>
              <w:left w:val="nil"/>
              <w:bottom w:val="single" w:color="auto" w:sz="4" w:space="0"/>
              <w:right w:val="single" w:color="auto" w:sz="4" w:space="0"/>
            </w:tcBorders>
          </w:tcPr>
          <w:p w14:paraId="7A8F0369">
            <w:pPr>
              <w:spacing w:line="360" w:lineRule="auto"/>
              <w:rPr>
                <w:rFonts w:ascii="宋体" w:hAnsi="宋体"/>
                <w:color w:val="000000" w:themeColor="text1"/>
                <w:sz w:val="22"/>
                <w:szCs w:val="22"/>
                <w:highlight w:val="none"/>
                <w14:textFill>
                  <w14:solidFill>
                    <w14:schemeClr w14:val="tx1"/>
                  </w14:solidFill>
                </w14:textFill>
              </w:rPr>
            </w:pPr>
          </w:p>
        </w:tc>
        <w:tc>
          <w:tcPr>
            <w:tcW w:w="925" w:type="pct"/>
            <w:tcBorders>
              <w:top w:val="single" w:color="auto" w:sz="4" w:space="0"/>
              <w:left w:val="nil"/>
              <w:bottom w:val="single" w:color="auto" w:sz="4" w:space="0"/>
              <w:right w:val="single" w:color="auto" w:sz="4" w:space="0"/>
            </w:tcBorders>
          </w:tcPr>
          <w:p w14:paraId="7E122C0F">
            <w:pPr>
              <w:spacing w:line="360" w:lineRule="auto"/>
              <w:rPr>
                <w:rFonts w:ascii="宋体" w:hAnsi="宋体"/>
                <w:color w:val="000000" w:themeColor="text1"/>
                <w:sz w:val="22"/>
                <w:szCs w:val="22"/>
                <w:highlight w:val="none"/>
                <w14:textFill>
                  <w14:solidFill>
                    <w14:schemeClr w14:val="tx1"/>
                  </w14:solidFill>
                </w14:textFill>
              </w:rPr>
            </w:pPr>
          </w:p>
        </w:tc>
        <w:tc>
          <w:tcPr>
            <w:tcW w:w="832" w:type="pct"/>
            <w:tcBorders>
              <w:top w:val="single" w:color="auto" w:sz="4" w:space="0"/>
              <w:left w:val="nil"/>
              <w:bottom w:val="single" w:color="auto" w:sz="4" w:space="0"/>
              <w:right w:val="single" w:color="auto" w:sz="4" w:space="0"/>
            </w:tcBorders>
          </w:tcPr>
          <w:p w14:paraId="1E72CD31">
            <w:pPr>
              <w:spacing w:line="360" w:lineRule="auto"/>
              <w:rPr>
                <w:rFonts w:ascii="宋体" w:hAnsi="宋体"/>
                <w:color w:val="000000" w:themeColor="text1"/>
                <w:sz w:val="22"/>
                <w:szCs w:val="22"/>
                <w:highlight w:val="none"/>
                <w14:textFill>
                  <w14:solidFill>
                    <w14:schemeClr w14:val="tx1"/>
                  </w14:solidFill>
                </w14:textFill>
              </w:rPr>
            </w:pPr>
          </w:p>
        </w:tc>
      </w:tr>
      <w:tr w14:paraId="72E6E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588" w:type="pct"/>
            <w:tcBorders>
              <w:top w:val="single" w:color="auto" w:sz="4" w:space="0"/>
              <w:left w:val="single" w:color="auto" w:sz="4" w:space="0"/>
              <w:bottom w:val="single" w:color="auto" w:sz="4" w:space="0"/>
              <w:right w:val="single" w:color="auto" w:sz="4" w:space="0"/>
            </w:tcBorders>
          </w:tcPr>
          <w:p w14:paraId="2056FC83">
            <w:pPr>
              <w:spacing w:line="360" w:lineRule="auto"/>
              <w:jc w:val="center"/>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3</w:t>
            </w:r>
          </w:p>
        </w:tc>
        <w:tc>
          <w:tcPr>
            <w:tcW w:w="1407" w:type="pct"/>
            <w:tcBorders>
              <w:top w:val="single" w:color="auto" w:sz="4" w:space="0"/>
              <w:left w:val="nil"/>
              <w:bottom w:val="single" w:color="auto" w:sz="4" w:space="0"/>
              <w:right w:val="single" w:color="auto" w:sz="4" w:space="0"/>
            </w:tcBorders>
          </w:tcPr>
          <w:p w14:paraId="652AB4AF">
            <w:pPr>
              <w:spacing w:line="360" w:lineRule="auto"/>
              <w:rPr>
                <w:rFonts w:ascii="宋体" w:hAnsi="宋体"/>
                <w:color w:val="000000" w:themeColor="text1"/>
                <w:sz w:val="22"/>
                <w:szCs w:val="22"/>
                <w:highlight w:val="none"/>
                <w14:textFill>
                  <w14:solidFill>
                    <w14:schemeClr w14:val="tx1"/>
                  </w14:solidFill>
                </w14:textFill>
              </w:rPr>
            </w:pPr>
          </w:p>
        </w:tc>
        <w:tc>
          <w:tcPr>
            <w:tcW w:w="1246" w:type="pct"/>
            <w:tcBorders>
              <w:top w:val="single" w:color="auto" w:sz="4" w:space="0"/>
              <w:left w:val="nil"/>
              <w:bottom w:val="single" w:color="auto" w:sz="4" w:space="0"/>
              <w:right w:val="single" w:color="auto" w:sz="4" w:space="0"/>
            </w:tcBorders>
          </w:tcPr>
          <w:p w14:paraId="75C2710F">
            <w:pPr>
              <w:spacing w:line="360" w:lineRule="auto"/>
              <w:rPr>
                <w:rFonts w:ascii="宋体" w:hAnsi="宋体"/>
                <w:color w:val="000000" w:themeColor="text1"/>
                <w:sz w:val="22"/>
                <w:szCs w:val="22"/>
                <w:highlight w:val="none"/>
                <w14:textFill>
                  <w14:solidFill>
                    <w14:schemeClr w14:val="tx1"/>
                  </w14:solidFill>
                </w14:textFill>
              </w:rPr>
            </w:pPr>
          </w:p>
        </w:tc>
        <w:tc>
          <w:tcPr>
            <w:tcW w:w="925" w:type="pct"/>
            <w:tcBorders>
              <w:top w:val="single" w:color="auto" w:sz="4" w:space="0"/>
              <w:left w:val="nil"/>
              <w:bottom w:val="single" w:color="auto" w:sz="4" w:space="0"/>
              <w:right w:val="single" w:color="auto" w:sz="4" w:space="0"/>
            </w:tcBorders>
          </w:tcPr>
          <w:p w14:paraId="5C515D6B">
            <w:pPr>
              <w:spacing w:line="360" w:lineRule="auto"/>
              <w:rPr>
                <w:rFonts w:ascii="宋体" w:hAnsi="宋体"/>
                <w:color w:val="000000" w:themeColor="text1"/>
                <w:sz w:val="22"/>
                <w:szCs w:val="22"/>
                <w:highlight w:val="none"/>
                <w14:textFill>
                  <w14:solidFill>
                    <w14:schemeClr w14:val="tx1"/>
                  </w14:solidFill>
                </w14:textFill>
              </w:rPr>
            </w:pPr>
          </w:p>
        </w:tc>
        <w:tc>
          <w:tcPr>
            <w:tcW w:w="832" w:type="pct"/>
            <w:tcBorders>
              <w:top w:val="single" w:color="auto" w:sz="4" w:space="0"/>
              <w:left w:val="nil"/>
              <w:bottom w:val="single" w:color="auto" w:sz="4" w:space="0"/>
              <w:right w:val="single" w:color="auto" w:sz="4" w:space="0"/>
            </w:tcBorders>
          </w:tcPr>
          <w:p w14:paraId="5451D0DE">
            <w:pPr>
              <w:spacing w:line="360" w:lineRule="auto"/>
              <w:rPr>
                <w:rFonts w:ascii="宋体" w:hAnsi="宋体"/>
                <w:color w:val="000000" w:themeColor="text1"/>
                <w:sz w:val="22"/>
                <w:szCs w:val="22"/>
                <w:highlight w:val="none"/>
                <w14:textFill>
                  <w14:solidFill>
                    <w14:schemeClr w14:val="tx1"/>
                  </w14:solidFill>
                </w14:textFill>
              </w:rPr>
            </w:pPr>
          </w:p>
        </w:tc>
      </w:tr>
      <w:tr w14:paraId="41F30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588" w:type="pct"/>
            <w:tcBorders>
              <w:top w:val="single" w:color="auto" w:sz="4" w:space="0"/>
              <w:left w:val="single" w:color="auto" w:sz="4" w:space="0"/>
              <w:bottom w:val="single" w:color="auto" w:sz="4" w:space="0"/>
              <w:right w:val="single" w:color="auto" w:sz="4" w:space="0"/>
            </w:tcBorders>
          </w:tcPr>
          <w:p w14:paraId="6184283E">
            <w:pPr>
              <w:spacing w:line="360" w:lineRule="auto"/>
              <w:jc w:val="center"/>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w:t>
            </w:r>
          </w:p>
        </w:tc>
        <w:tc>
          <w:tcPr>
            <w:tcW w:w="1407" w:type="pct"/>
            <w:tcBorders>
              <w:top w:val="single" w:color="auto" w:sz="4" w:space="0"/>
              <w:left w:val="nil"/>
              <w:bottom w:val="single" w:color="auto" w:sz="4" w:space="0"/>
              <w:right w:val="single" w:color="auto" w:sz="4" w:space="0"/>
            </w:tcBorders>
          </w:tcPr>
          <w:p w14:paraId="368F16E8">
            <w:pPr>
              <w:spacing w:line="360" w:lineRule="auto"/>
              <w:rPr>
                <w:rFonts w:ascii="宋体" w:hAnsi="宋体"/>
                <w:color w:val="000000" w:themeColor="text1"/>
                <w:sz w:val="22"/>
                <w:szCs w:val="22"/>
                <w:highlight w:val="none"/>
                <w14:textFill>
                  <w14:solidFill>
                    <w14:schemeClr w14:val="tx1"/>
                  </w14:solidFill>
                </w14:textFill>
              </w:rPr>
            </w:pPr>
          </w:p>
        </w:tc>
        <w:tc>
          <w:tcPr>
            <w:tcW w:w="1246" w:type="pct"/>
            <w:tcBorders>
              <w:top w:val="single" w:color="auto" w:sz="4" w:space="0"/>
              <w:left w:val="nil"/>
              <w:bottom w:val="single" w:color="auto" w:sz="4" w:space="0"/>
              <w:right w:val="single" w:color="auto" w:sz="4" w:space="0"/>
            </w:tcBorders>
          </w:tcPr>
          <w:p w14:paraId="253CD686">
            <w:pPr>
              <w:spacing w:line="360" w:lineRule="auto"/>
              <w:rPr>
                <w:rFonts w:ascii="宋体" w:hAnsi="宋体"/>
                <w:color w:val="000000" w:themeColor="text1"/>
                <w:sz w:val="22"/>
                <w:szCs w:val="22"/>
                <w:highlight w:val="none"/>
                <w14:textFill>
                  <w14:solidFill>
                    <w14:schemeClr w14:val="tx1"/>
                  </w14:solidFill>
                </w14:textFill>
              </w:rPr>
            </w:pPr>
          </w:p>
        </w:tc>
        <w:tc>
          <w:tcPr>
            <w:tcW w:w="925" w:type="pct"/>
            <w:tcBorders>
              <w:top w:val="single" w:color="auto" w:sz="4" w:space="0"/>
              <w:left w:val="nil"/>
              <w:bottom w:val="single" w:color="auto" w:sz="4" w:space="0"/>
              <w:right w:val="single" w:color="auto" w:sz="4" w:space="0"/>
            </w:tcBorders>
          </w:tcPr>
          <w:p w14:paraId="4B46A27B">
            <w:pPr>
              <w:spacing w:line="360" w:lineRule="auto"/>
              <w:rPr>
                <w:rFonts w:ascii="宋体" w:hAnsi="宋体"/>
                <w:color w:val="000000" w:themeColor="text1"/>
                <w:sz w:val="22"/>
                <w:szCs w:val="22"/>
                <w:highlight w:val="none"/>
                <w14:textFill>
                  <w14:solidFill>
                    <w14:schemeClr w14:val="tx1"/>
                  </w14:solidFill>
                </w14:textFill>
              </w:rPr>
            </w:pPr>
          </w:p>
        </w:tc>
        <w:tc>
          <w:tcPr>
            <w:tcW w:w="832" w:type="pct"/>
            <w:tcBorders>
              <w:top w:val="single" w:color="auto" w:sz="4" w:space="0"/>
              <w:left w:val="nil"/>
              <w:bottom w:val="single" w:color="auto" w:sz="4" w:space="0"/>
              <w:right w:val="single" w:color="auto" w:sz="4" w:space="0"/>
            </w:tcBorders>
          </w:tcPr>
          <w:p w14:paraId="0AF14748">
            <w:pPr>
              <w:spacing w:line="360" w:lineRule="auto"/>
              <w:rPr>
                <w:rFonts w:ascii="宋体" w:hAnsi="宋体"/>
                <w:color w:val="000000" w:themeColor="text1"/>
                <w:sz w:val="22"/>
                <w:szCs w:val="22"/>
                <w:highlight w:val="none"/>
                <w14:textFill>
                  <w14:solidFill>
                    <w14:schemeClr w14:val="tx1"/>
                  </w14:solidFill>
                </w14:textFill>
              </w:rPr>
            </w:pPr>
          </w:p>
        </w:tc>
      </w:tr>
    </w:tbl>
    <w:p w14:paraId="60CC8AFE">
      <w:pPr>
        <w:spacing w:line="360" w:lineRule="auto"/>
        <w:rPr>
          <w:rFonts w:ascii="宋体" w:hAnsi="宋体"/>
          <w:color w:val="000000" w:themeColor="text1"/>
          <w:sz w:val="22"/>
          <w:szCs w:val="22"/>
          <w:highlight w:val="none"/>
          <w14:textFill>
            <w14:solidFill>
              <w14:schemeClr w14:val="tx1"/>
            </w14:solidFill>
          </w14:textFill>
        </w:rPr>
      </w:pPr>
    </w:p>
    <w:p w14:paraId="4A446B77">
      <w:pPr>
        <w:spacing w:line="360" w:lineRule="auto"/>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注：</w:t>
      </w:r>
    </w:p>
    <w:p w14:paraId="6272DAC4">
      <w:pPr>
        <w:numPr>
          <w:ilvl w:val="0"/>
          <w:numId w:val="9"/>
        </w:numPr>
        <w:spacing w:line="360" w:lineRule="auto"/>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投标人必须对应招标文件“第二章招标项目需求 项目服务要求”逐条响应。</w:t>
      </w:r>
    </w:p>
    <w:p w14:paraId="262F1F39">
      <w:pPr>
        <w:numPr>
          <w:ilvl w:val="0"/>
          <w:numId w:val="9"/>
        </w:numPr>
        <w:spacing w:line="360" w:lineRule="auto"/>
        <w:rPr>
          <w:rFonts w:ascii="宋体" w:hAnsi="宋体"/>
          <w:color w:val="000000" w:themeColor="text1"/>
          <w:sz w:val="22"/>
          <w:szCs w:val="22"/>
          <w:highlight w:val="none"/>
          <w14:textFill>
            <w14:solidFill>
              <w14:schemeClr w14:val="tx1"/>
            </w14:solidFill>
          </w14:textFill>
        </w:rPr>
      </w:pPr>
      <w:r>
        <w:rPr>
          <w:rFonts w:hint="eastAsia" w:ascii="宋体" w:hAnsi="宋体"/>
          <w:color w:val="000000" w:themeColor="text1"/>
          <w:sz w:val="22"/>
          <w:szCs w:val="22"/>
          <w:highlight w:val="none"/>
          <w14:textFill>
            <w14:solidFill>
              <w14:schemeClr w14:val="tx1"/>
            </w14:solidFill>
          </w14:textFill>
        </w:rPr>
        <w:t>“偏离情况”一栏应如实填写“正偏离”、“负偏离”或“无偏离”。</w:t>
      </w:r>
    </w:p>
    <w:p w14:paraId="2EC0BA43">
      <w:pPr>
        <w:spacing w:line="360" w:lineRule="exact"/>
        <w:rPr>
          <w:rFonts w:ascii="宋体" w:hAnsi="宋体" w:cs="宋体"/>
          <w:bCs/>
          <w:color w:val="000000" w:themeColor="text1"/>
          <w:sz w:val="22"/>
          <w:szCs w:val="22"/>
          <w:highlight w:val="none"/>
          <w14:textFill>
            <w14:solidFill>
              <w14:schemeClr w14:val="tx1"/>
            </w14:solidFill>
          </w14:textFill>
        </w:rPr>
      </w:pPr>
    </w:p>
    <w:p w14:paraId="6A395288">
      <w:pPr>
        <w:spacing w:line="360" w:lineRule="auto"/>
        <w:rPr>
          <w:rFonts w:ascii="Times New Roman" w:hAnsi="Times New Roman"/>
          <w:color w:val="000000" w:themeColor="text1"/>
          <w:sz w:val="22"/>
          <w:szCs w:val="22"/>
          <w:highlight w:val="none"/>
          <w14:textFill>
            <w14:solidFill>
              <w14:schemeClr w14:val="tx1"/>
            </w14:solidFill>
          </w14:textFill>
        </w:rPr>
      </w:pPr>
      <w:r>
        <w:rPr>
          <w:rFonts w:hint="eastAsia" w:ascii="Times New Roman" w:hAnsi="Times New Roman"/>
          <w:color w:val="000000" w:themeColor="text1"/>
          <w:sz w:val="22"/>
          <w:szCs w:val="22"/>
          <w:highlight w:val="none"/>
          <w14:textFill>
            <w14:solidFill>
              <w14:schemeClr w14:val="tx1"/>
            </w14:solidFill>
          </w14:textFill>
        </w:rPr>
        <w:t xml:space="preserve">投标人名称（盖章）：                        </w:t>
      </w:r>
    </w:p>
    <w:p w14:paraId="28C93B94">
      <w:pPr>
        <w:spacing w:line="360" w:lineRule="auto"/>
        <w:rPr>
          <w:rFonts w:ascii="Times New Roman" w:hAnsi="Times New Roman"/>
          <w:color w:val="000000" w:themeColor="text1"/>
          <w:sz w:val="22"/>
          <w:szCs w:val="22"/>
          <w:highlight w:val="none"/>
          <w14:textFill>
            <w14:solidFill>
              <w14:schemeClr w14:val="tx1"/>
            </w14:solidFill>
          </w14:textFill>
        </w:rPr>
      </w:pPr>
      <w:r>
        <w:rPr>
          <w:rFonts w:hint="eastAsia" w:ascii="Times New Roman" w:hAnsi="Times New Roman"/>
          <w:color w:val="000000" w:themeColor="text1"/>
          <w:sz w:val="22"/>
          <w:szCs w:val="22"/>
          <w:highlight w:val="none"/>
          <w14:textFill>
            <w14:solidFill>
              <w14:schemeClr w14:val="tx1"/>
            </w14:solidFill>
          </w14:textFill>
        </w:rPr>
        <w:t>日期：   年   月   日</w:t>
      </w:r>
    </w:p>
    <w:p w14:paraId="62D91F1C">
      <w:pPr>
        <w:adjustRightInd w:val="0"/>
        <w:snapToGrid w:val="0"/>
        <w:spacing w:line="360" w:lineRule="exact"/>
        <w:rPr>
          <w:rFonts w:ascii="宋体" w:hAnsi="宋体" w:cs="宋体"/>
          <w:bCs/>
          <w:color w:val="000000" w:themeColor="text1"/>
          <w:sz w:val="22"/>
          <w:highlight w:val="none"/>
          <w14:textFill>
            <w14:solidFill>
              <w14:schemeClr w14:val="tx1"/>
            </w14:solidFill>
          </w14:textFill>
        </w:rPr>
      </w:pPr>
    </w:p>
    <w:p w14:paraId="3B839BAD">
      <w:pPr>
        <w:adjustRightInd w:val="0"/>
        <w:snapToGrid w:val="0"/>
        <w:spacing w:line="360" w:lineRule="exact"/>
        <w:rPr>
          <w:rFonts w:ascii="宋体" w:hAnsi="宋体" w:cs="宋体"/>
          <w:bCs/>
          <w:color w:val="000000" w:themeColor="text1"/>
          <w:sz w:val="22"/>
          <w:highlight w:val="none"/>
          <w14:textFill>
            <w14:solidFill>
              <w14:schemeClr w14:val="tx1"/>
            </w14:solidFill>
          </w14:textFill>
        </w:rPr>
      </w:pPr>
    </w:p>
    <w:p w14:paraId="4A0EBA19">
      <w:pPr>
        <w:adjustRightInd w:val="0"/>
        <w:snapToGrid w:val="0"/>
        <w:spacing w:line="360" w:lineRule="exact"/>
        <w:rPr>
          <w:rFonts w:ascii="宋体" w:hAnsi="宋体" w:cs="宋体"/>
          <w:bCs/>
          <w:color w:val="000000" w:themeColor="text1"/>
          <w:sz w:val="22"/>
          <w:highlight w:val="none"/>
          <w14:textFill>
            <w14:solidFill>
              <w14:schemeClr w14:val="tx1"/>
            </w14:solidFill>
          </w14:textFill>
        </w:rPr>
      </w:pPr>
    </w:p>
    <w:p w14:paraId="18FC3DA9">
      <w:pPr>
        <w:adjustRightInd w:val="0"/>
        <w:snapToGrid w:val="0"/>
        <w:spacing w:line="360" w:lineRule="exact"/>
        <w:rPr>
          <w:rFonts w:ascii="宋体" w:hAnsi="宋体" w:cs="宋体"/>
          <w:bCs/>
          <w:color w:val="000000" w:themeColor="text1"/>
          <w:sz w:val="22"/>
          <w:highlight w:val="none"/>
          <w14:textFill>
            <w14:solidFill>
              <w14:schemeClr w14:val="tx1"/>
            </w14:solidFill>
          </w14:textFill>
        </w:rPr>
      </w:pPr>
    </w:p>
    <w:p w14:paraId="4E98B154">
      <w:pPr>
        <w:adjustRightInd w:val="0"/>
        <w:snapToGrid w:val="0"/>
        <w:spacing w:line="360" w:lineRule="exact"/>
        <w:rPr>
          <w:rFonts w:ascii="宋体" w:hAnsi="宋体" w:cs="宋体"/>
          <w:bCs/>
          <w:color w:val="000000" w:themeColor="text1"/>
          <w:sz w:val="22"/>
          <w:highlight w:val="none"/>
          <w14:textFill>
            <w14:solidFill>
              <w14:schemeClr w14:val="tx1"/>
            </w14:solidFill>
          </w14:textFill>
        </w:rPr>
      </w:pPr>
    </w:p>
    <w:p w14:paraId="2DA16275">
      <w:pPr>
        <w:adjustRightInd w:val="0"/>
        <w:snapToGrid w:val="0"/>
        <w:spacing w:line="360" w:lineRule="exact"/>
        <w:rPr>
          <w:rFonts w:ascii="宋体" w:hAnsi="宋体" w:cs="宋体"/>
          <w:bCs/>
          <w:color w:val="000000" w:themeColor="text1"/>
          <w:sz w:val="22"/>
          <w:highlight w:val="none"/>
          <w14:textFill>
            <w14:solidFill>
              <w14:schemeClr w14:val="tx1"/>
            </w14:solidFill>
          </w14:textFill>
        </w:rPr>
      </w:pPr>
    </w:p>
    <w:p w14:paraId="7B201027">
      <w:pPr>
        <w:adjustRightInd w:val="0"/>
        <w:snapToGrid w:val="0"/>
        <w:spacing w:line="360" w:lineRule="exact"/>
        <w:rPr>
          <w:rFonts w:ascii="宋体" w:hAnsi="宋体" w:cs="宋体"/>
          <w:bCs/>
          <w:color w:val="000000" w:themeColor="text1"/>
          <w:sz w:val="22"/>
          <w:highlight w:val="none"/>
          <w14:textFill>
            <w14:solidFill>
              <w14:schemeClr w14:val="tx1"/>
            </w14:solidFill>
          </w14:textFill>
        </w:rPr>
      </w:pPr>
    </w:p>
    <w:p w14:paraId="660D0DA6">
      <w:pPr>
        <w:adjustRightInd w:val="0"/>
        <w:snapToGrid w:val="0"/>
        <w:spacing w:line="360" w:lineRule="exact"/>
        <w:rPr>
          <w:rFonts w:ascii="宋体" w:hAnsi="宋体" w:cs="宋体"/>
          <w:bCs/>
          <w:color w:val="000000" w:themeColor="text1"/>
          <w:sz w:val="22"/>
          <w:highlight w:val="none"/>
          <w14:textFill>
            <w14:solidFill>
              <w14:schemeClr w14:val="tx1"/>
            </w14:solidFill>
          </w14:textFill>
        </w:rPr>
      </w:pPr>
    </w:p>
    <w:p w14:paraId="18CE73B8">
      <w:pPr>
        <w:adjustRightInd w:val="0"/>
        <w:snapToGrid w:val="0"/>
        <w:spacing w:line="360" w:lineRule="exact"/>
        <w:rPr>
          <w:rFonts w:ascii="宋体" w:hAnsi="宋体" w:cs="宋体"/>
          <w:bCs/>
          <w:color w:val="000000" w:themeColor="text1"/>
          <w:sz w:val="22"/>
          <w:highlight w:val="none"/>
          <w14:textFill>
            <w14:solidFill>
              <w14:schemeClr w14:val="tx1"/>
            </w14:solidFill>
          </w14:textFill>
        </w:rPr>
      </w:pPr>
    </w:p>
    <w:p w14:paraId="3E10D55F">
      <w:pPr>
        <w:adjustRightInd w:val="0"/>
        <w:snapToGrid w:val="0"/>
        <w:spacing w:line="360" w:lineRule="exact"/>
        <w:rPr>
          <w:rFonts w:ascii="宋体" w:hAnsi="宋体" w:cs="宋体"/>
          <w:bCs/>
          <w:color w:val="000000" w:themeColor="text1"/>
          <w:sz w:val="22"/>
          <w:highlight w:val="none"/>
          <w14:textFill>
            <w14:solidFill>
              <w14:schemeClr w14:val="tx1"/>
            </w14:solidFill>
          </w14:textFill>
        </w:rPr>
      </w:pPr>
    </w:p>
    <w:p w14:paraId="331BE512">
      <w:pPr>
        <w:adjustRightInd w:val="0"/>
        <w:snapToGrid w:val="0"/>
        <w:spacing w:line="360" w:lineRule="exact"/>
        <w:rPr>
          <w:rFonts w:ascii="宋体" w:hAnsi="宋体" w:cs="宋体"/>
          <w:bCs/>
          <w:color w:val="000000" w:themeColor="text1"/>
          <w:sz w:val="22"/>
          <w:highlight w:val="none"/>
          <w14:textFill>
            <w14:solidFill>
              <w14:schemeClr w14:val="tx1"/>
            </w14:solidFill>
          </w14:textFill>
        </w:rPr>
      </w:pPr>
    </w:p>
    <w:p w14:paraId="2DEB03DE">
      <w:pPr>
        <w:adjustRightInd w:val="0"/>
        <w:snapToGrid w:val="0"/>
        <w:spacing w:line="360" w:lineRule="exact"/>
        <w:rPr>
          <w:rFonts w:ascii="宋体" w:hAnsi="宋体" w:cs="宋体"/>
          <w:bCs/>
          <w:color w:val="000000" w:themeColor="text1"/>
          <w:sz w:val="22"/>
          <w:highlight w:val="none"/>
          <w14:textFill>
            <w14:solidFill>
              <w14:schemeClr w14:val="tx1"/>
            </w14:solidFill>
          </w14:textFill>
        </w:rPr>
      </w:pPr>
    </w:p>
    <w:p w14:paraId="29A7200D">
      <w:pPr>
        <w:adjustRightInd w:val="0"/>
        <w:snapToGrid w:val="0"/>
        <w:spacing w:line="360" w:lineRule="exact"/>
        <w:rPr>
          <w:rFonts w:ascii="宋体" w:hAnsi="宋体" w:cs="宋体"/>
          <w:bCs/>
          <w:color w:val="000000" w:themeColor="text1"/>
          <w:sz w:val="22"/>
          <w:highlight w:val="none"/>
          <w14:textFill>
            <w14:solidFill>
              <w14:schemeClr w14:val="tx1"/>
            </w14:solidFill>
          </w14:textFill>
        </w:rPr>
      </w:pPr>
    </w:p>
    <w:p w14:paraId="71557309">
      <w:pPr>
        <w:adjustRightInd w:val="0"/>
        <w:snapToGrid w:val="0"/>
        <w:spacing w:line="360" w:lineRule="exact"/>
        <w:rPr>
          <w:rFonts w:ascii="宋体" w:hAnsi="宋体" w:cs="宋体"/>
          <w:bCs/>
          <w:color w:val="000000" w:themeColor="text1"/>
          <w:sz w:val="22"/>
          <w:highlight w:val="none"/>
          <w14:textFill>
            <w14:solidFill>
              <w14:schemeClr w14:val="tx1"/>
            </w14:solidFill>
          </w14:textFill>
        </w:rPr>
      </w:pPr>
    </w:p>
    <w:p w14:paraId="62AFC2D6">
      <w:pPr>
        <w:adjustRightInd w:val="0"/>
        <w:snapToGrid w:val="0"/>
        <w:spacing w:line="360" w:lineRule="exact"/>
        <w:rPr>
          <w:rFonts w:ascii="宋体" w:hAnsi="宋体" w:cs="宋体"/>
          <w:bCs/>
          <w:color w:val="000000" w:themeColor="text1"/>
          <w:sz w:val="22"/>
          <w:highlight w:val="none"/>
          <w14:textFill>
            <w14:solidFill>
              <w14:schemeClr w14:val="tx1"/>
            </w14:solidFill>
          </w14:textFill>
        </w:rPr>
      </w:pPr>
    </w:p>
    <w:p w14:paraId="5B079491">
      <w:pPr>
        <w:adjustRightInd w:val="0"/>
        <w:snapToGrid w:val="0"/>
        <w:spacing w:line="360" w:lineRule="exact"/>
        <w:rPr>
          <w:rFonts w:ascii="宋体" w:hAnsi="宋体" w:cs="宋体"/>
          <w:bCs/>
          <w:color w:val="000000" w:themeColor="text1"/>
          <w:sz w:val="22"/>
          <w:highlight w:val="none"/>
          <w14:textFill>
            <w14:solidFill>
              <w14:schemeClr w14:val="tx1"/>
            </w14:solidFill>
          </w14:textFill>
        </w:rPr>
      </w:pPr>
    </w:p>
    <w:p w14:paraId="221A7289">
      <w:pPr>
        <w:adjustRightInd w:val="0"/>
        <w:snapToGrid w:val="0"/>
        <w:spacing w:line="360" w:lineRule="exact"/>
        <w:rPr>
          <w:rFonts w:ascii="宋体" w:hAnsi="宋体" w:cs="宋体"/>
          <w:bCs/>
          <w:color w:val="000000" w:themeColor="text1"/>
          <w:sz w:val="22"/>
          <w:highlight w:val="none"/>
          <w14:textFill>
            <w14:solidFill>
              <w14:schemeClr w14:val="tx1"/>
            </w14:solidFill>
          </w14:textFill>
        </w:rPr>
      </w:pPr>
    </w:p>
    <w:p w14:paraId="24264433">
      <w:pPr>
        <w:adjustRightInd w:val="0"/>
        <w:snapToGrid w:val="0"/>
        <w:spacing w:line="360" w:lineRule="exact"/>
        <w:rPr>
          <w:rFonts w:ascii="宋体" w:hAnsi="宋体" w:cs="宋体"/>
          <w:bCs/>
          <w:color w:val="000000" w:themeColor="text1"/>
          <w:sz w:val="22"/>
          <w:highlight w:val="none"/>
          <w14:textFill>
            <w14:solidFill>
              <w14:schemeClr w14:val="tx1"/>
            </w14:solidFill>
          </w14:textFill>
        </w:rPr>
      </w:pPr>
    </w:p>
    <w:p w14:paraId="42E0A939">
      <w:pPr>
        <w:adjustRightInd w:val="0"/>
        <w:snapToGrid w:val="0"/>
        <w:spacing w:line="360" w:lineRule="exact"/>
        <w:rPr>
          <w:rFonts w:ascii="宋体" w:hAnsi="宋体" w:cs="宋体"/>
          <w:bCs/>
          <w:color w:val="000000" w:themeColor="text1"/>
          <w:sz w:val="22"/>
          <w:highlight w:val="none"/>
          <w14:textFill>
            <w14:solidFill>
              <w14:schemeClr w14:val="tx1"/>
            </w14:solidFill>
          </w14:textFill>
        </w:rPr>
      </w:pPr>
    </w:p>
    <w:p w14:paraId="08EE7A8B">
      <w:pPr>
        <w:pStyle w:val="10"/>
        <w:rPr>
          <w:rFonts w:hint="eastAsia"/>
          <w:highlight w:val="none"/>
        </w:rPr>
      </w:pPr>
    </w:p>
    <w:p w14:paraId="6DE00F45">
      <w:pPr>
        <w:ind w:left="420"/>
        <w:jc w:val="center"/>
        <w:outlineLvl w:val="3"/>
        <w:rPr>
          <w:rFonts w:hint="eastAsia" w:ascii="宋体" w:hAnsi="宋体" w:eastAsia="宋体" w:cs="宋体"/>
          <w:b/>
          <w:bCs/>
          <w:color w:val="000000" w:themeColor="text1"/>
          <w:sz w:val="32"/>
          <w:highlight w:val="none"/>
          <w:lang w:val="en-US" w:eastAsia="zh-CN"/>
          <w14:textFill>
            <w14:solidFill>
              <w14:schemeClr w14:val="tx1"/>
            </w14:solidFill>
          </w14:textFill>
        </w:rPr>
      </w:pPr>
      <w:r>
        <w:rPr>
          <w:rFonts w:hint="eastAsia" w:ascii="宋体" w:hAnsi="宋体" w:cs="宋体"/>
          <w:b/>
          <w:bCs/>
          <w:color w:val="000000" w:themeColor="text1"/>
          <w:sz w:val="32"/>
          <w:highlight w:val="none"/>
          <w:lang w:eastAsia="zh-CN"/>
          <w14:textFill>
            <w14:solidFill>
              <w14:schemeClr w14:val="tx1"/>
            </w14:solidFill>
          </w14:textFill>
        </w:rPr>
        <w:br w:type="page"/>
      </w:r>
      <w:r>
        <w:rPr>
          <w:rFonts w:hint="eastAsia" w:ascii="宋体" w:hAnsi="宋体" w:eastAsia="宋体" w:cs="宋体"/>
          <w:b/>
          <w:bCs/>
          <w:color w:val="000000" w:themeColor="text1"/>
          <w:sz w:val="32"/>
          <w:highlight w:val="none"/>
          <w:lang w:val="en-US" w:eastAsia="zh-CN"/>
          <w14:textFill>
            <w14:solidFill>
              <w14:schemeClr w14:val="tx1"/>
            </w14:solidFill>
          </w14:textFill>
        </w:rPr>
        <w:t>十四、认证情况</w:t>
      </w:r>
    </w:p>
    <w:p w14:paraId="3AD9F2B6">
      <w:pPr>
        <w:ind w:left="420"/>
        <w:jc w:val="center"/>
        <w:outlineLvl w:val="3"/>
        <w:rPr>
          <w:rFonts w:hint="eastAsia" w:ascii="宋体" w:hAnsi="宋体" w:eastAsia="宋体" w:cs="宋体"/>
          <w:b/>
          <w:bCs/>
          <w:color w:val="000000" w:themeColor="text1"/>
          <w:sz w:val="32"/>
          <w:highlight w:val="none"/>
          <w:lang w:val="en-US" w:eastAsia="zh-CN"/>
          <w14:textFill>
            <w14:solidFill>
              <w14:schemeClr w14:val="tx1"/>
            </w14:solidFill>
          </w14:textFill>
        </w:rPr>
      </w:pPr>
      <w:r>
        <w:rPr>
          <w:rFonts w:hint="eastAsia" w:ascii="宋体" w:hAnsi="宋体" w:eastAsia="宋体" w:cs="宋体"/>
          <w:b/>
          <w:bCs/>
          <w:color w:val="000000" w:themeColor="text1"/>
          <w:sz w:val="32"/>
          <w:highlight w:val="none"/>
          <w:lang w:val="en-US" w:eastAsia="zh-CN"/>
          <w14:textFill>
            <w14:solidFill>
              <w14:schemeClr w14:val="tx1"/>
            </w14:solidFill>
          </w14:textFill>
        </w:rPr>
        <w:t>十五、同类业绩</w:t>
      </w:r>
    </w:p>
    <w:p w14:paraId="77207098">
      <w:pPr>
        <w:ind w:left="420"/>
        <w:jc w:val="center"/>
        <w:outlineLvl w:val="3"/>
        <w:rPr>
          <w:rFonts w:hint="eastAsia" w:ascii="宋体" w:hAnsi="宋体" w:eastAsia="宋体" w:cs="宋体"/>
          <w:b/>
          <w:bCs/>
          <w:color w:val="000000" w:themeColor="text1"/>
          <w:sz w:val="32"/>
          <w:highlight w:val="none"/>
          <w:lang w:val="en-US" w:eastAsia="zh-CN"/>
          <w14:textFill>
            <w14:solidFill>
              <w14:schemeClr w14:val="tx1"/>
            </w14:solidFill>
          </w14:textFill>
        </w:rPr>
      </w:pPr>
      <w:r>
        <w:rPr>
          <w:rFonts w:hint="eastAsia" w:ascii="宋体" w:hAnsi="宋体" w:eastAsia="宋体" w:cs="宋体"/>
          <w:b/>
          <w:bCs/>
          <w:color w:val="000000" w:themeColor="text1"/>
          <w:sz w:val="32"/>
          <w:highlight w:val="none"/>
          <w:lang w:val="en-US" w:eastAsia="zh-CN"/>
          <w14:textFill>
            <w14:solidFill>
              <w14:schemeClr w14:val="tx1"/>
            </w14:solidFill>
          </w14:textFill>
        </w:rPr>
        <w:t>十六、履约评价</w:t>
      </w:r>
    </w:p>
    <w:p w14:paraId="42EEF912">
      <w:pPr>
        <w:ind w:left="420"/>
        <w:jc w:val="center"/>
        <w:outlineLvl w:val="3"/>
        <w:rPr>
          <w:rFonts w:hint="eastAsia" w:ascii="宋体" w:hAnsi="宋体" w:eastAsia="宋体" w:cs="宋体"/>
          <w:b/>
          <w:bCs/>
          <w:color w:val="000000" w:themeColor="text1"/>
          <w:sz w:val="32"/>
          <w:highlight w:val="none"/>
          <w:lang w:val="en-US" w:eastAsia="zh-CN"/>
          <w14:textFill>
            <w14:solidFill>
              <w14:schemeClr w14:val="tx1"/>
            </w14:solidFill>
          </w14:textFill>
        </w:rPr>
      </w:pPr>
      <w:r>
        <w:rPr>
          <w:rFonts w:hint="eastAsia" w:ascii="宋体" w:hAnsi="宋体" w:eastAsia="宋体" w:cs="宋体"/>
          <w:b/>
          <w:bCs/>
          <w:color w:val="000000" w:themeColor="text1"/>
          <w:sz w:val="32"/>
          <w:highlight w:val="none"/>
          <w:lang w:val="en-US" w:eastAsia="zh-CN"/>
          <w14:textFill>
            <w14:solidFill>
              <w14:schemeClr w14:val="tx1"/>
            </w14:solidFill>
          </w14:textFill>
        </w:rPr>
        <w:t>十七、相关保险</w:t>
      </w:r>
    </w:p>
    <w:p w14:paraId="3CB75201">
      <w:pPr>
        <w:ind w:left="420"/>
        <w:jc w:val="center"/>
        <w:outlineLvl w:val="3"/>
        <w:rPr>
          <w:rFonts w:hint="eastAsia" w:ascii="宋体" w:hAnsi="宋体" w:eastAsia="宋体" w:cs="宋体"/>
          <w:b/>
          <w:bCs/>
          <w:color w:val="000000" w:themeColor="text1"/>
          <w:sz w:val="32"/>
          <w:highlight w:val="none"/>
          <w:lang w:val="en-US" w:eastAsia="zh-CN"/>
          <w14:textFill>
            <w14:solidFill>
              <w14:schemeClr w14:val="tx1"/>
            </w14:solidFill>
          </w14:textFill>
        </w:rPr>
      </w:pPr>
      <w:r>
        <w:rPr>
          <w:rFonts w:hint="eastAsia" w:ascii="宋体" w:hAnsi="宋体" w:eastAsia="宋体" w:cs="宋体"/>
          <w:b/>
          <w:bCs/>
          <w:color w:val="000000" w:themeColor="text1"/>
          <w:sz w:val="32"/>
          <w:highlight w:val="none"/>
          <w:lang w:val="en-US" w:eastAsia="zh-CN"/>
          <w14:textFill>
            <w14:solidFill>
              <w14:schemeClr w14:val="tx1"/>
            </w14:solidFill>
          </w14:textFill>
        </w:rPr>
        <w:t>十八、服务组织方案</w:t>
      </w:r>
    </w:p>
    <w:p w14:paraId="7CC41B78">
      <w:pPr>
        <w:ind w:left="420"/>
        <w:jc w:val="center"/>
        <w:outlineLvl w:val="3"/>
        <w:rPr>
          <w:rFonts w:hint="eastAsia" w:ascii="宋体" w:hAnsi="宋体" w:eastAsia="宋体" w:cs="宋体"/>
          <w:b/>
          <w:bCs/>
          <w:color w:val="000000" w:themeColor="text1"/>
          <w:sz w:val="32"/>
          <w:highlight w:val="none"/>
          <w:lang w:val="en-US" w:eastAsia="zh-CN"/>
          <w14:textFill>
            <w14:solidFill>
              <w14:schemeClr w14:val="tx1"/>
            </w14:solidFill>
          </w14:textFill>
        </w:rPr>
      </w:pPr>
      <w:r>
        <w:rPr>
          <w:rFonts w:hint="eastAsia" w:ascii="宋体" w:hAnsi="宋体" w:eastAsia="宋体" w:cs="宋体"/>
          <w:b/>
          <w:bCs/>
          <w:color w:val="000000" w:themeColor="text1"/>
          <w:sz w:val="32"/>
          <w:highlight w:val="none"/>
          <w:lang w:val="en-US" w:eastAsia="zh-CN"/>
          <w14:textFill>
            <w14:solidFill>
              <w14:schemeClr w14:val="tx1"/>
            </w14:solidFill>
          </w14:textFill>
        </w:rPr>
        <w:t>十九、服务质量保证措施</w:t>
      </w:r>
    </w:p>
    <w:p w14:paraId="408A8F6B">
      <w:pPr>
        <w:ind w:left="420"/>
        <w:jc w:val="center"/>
        <w:outlineLvl w:val="3"/>
        <w:rPr>
          <w:rFonts w:hint="eastAsia" w:ascii="宋体" w:hAnsi="宋体" w:eastAsia="宋体" w:cs="宋体"/>
          <w:b/>
          <w:bCs/>
          <w:color w:val="000000" w:themeColor="text1"/>
          <w:sz w:val="32"/>
          <w:highlight w:val="none"/>
          <w:lang w:val="en-US" w:eastAsia="zh-CN"/>
          <w14:textFill>
            <w14:solidFill>
              <w14:schemeClr w14:val="tx1"/>
            </w14:solidFill>
          </w14:textFill>
        </w:rPr>
      </w:pPr>
      <w:r>
        <w:rPr>
          <w:rFonts w:hint="eastAsia" w:ascii="宋体" w:hAnsi="宋体" w:eastAsia="宋体" w:cs="宋体"/>
          <w:b/>
          <w:bCs/>
          <w:color w:val="000000" w:themeColor="text1"/>
          <w:sz w:val="32"/>
          <w:highlight w:val="none"/>
          <w:lang w:val="en-US" w:eastAsia="zh-CN"/>
          <w14:textFill>
            <w14:solidFill>
              <w14:schemeClr w14:val="tx1"/>
            </w14:solidFill>
          </w14:textFill>
        </w:rPr>
        <w:t>二十、应急方案</w:t>
      </w:r>
    </w:p>
    <w:p w14:paraId="6463BB65">
      <w:pPr>
        <w:ind w:left="420"/>
        <w:jc w:val="center"/>
        <w:outlineLvl w:val="3"/>
        <w:rPr>
          <w:rFonts w:hint="eastAsia" w:ascii="宋体" w:hAnsi="宋体" w:eastAsia="宋体" w:cs="宋体"/>
          <w:b/>
          <w:bCs/>
          <w:color w:val="000000" w:themeColor="text1"/>
          <w:sz w:val="32"/>
          <w:highlight w:val="none"/>
          <w:lang w:val="en-US" w:eastAsia="zh-CN"/>
          <w14:textFill>
            <w14:solidFill>
              <w14:schemeClr w14:val="tx1"/>
            </w14:solidFill>
          </w14:textFill>
        </w:rPr>
      </w:pPr>
      <w:r>
        <w:rPr>
          <w:rFonts w:hint="eastAsia" w:ascii="宋体" w:hAnsi="宋体" w:eastAsia="宋体" w:cs="宋体"/>
          <w:b/>
          <w:bCs/>
          <w:color w:val="000000" w:themeColor="text1"/>
          <w:sz w:val="32"/>
          <w:highlight w:val="none"/>
          <w:lang w:val="en-US" w:eastAsia="zh-CN"/>
          <w14:textFill>
            <w14:solidFill>
              <w14:schemeClr w14:val="tx1"/>
            </w14:solidFill>
          </w14:textFill>
        </w:rPr>
        <w:t>二十一、卫生管理和保障制度</w:t>
      </w:r>
    </w:p>
    <w:p w14:paraId="6AFF795B">
      <w:pPr>
        <w:ind w:left="420"/>
        <w:jc w:val="center"/>
        <w:outlineLvl w:val="3"/>
        <w:rPr>
          <w:rFonts w:hint="eastAsia" w:ascii="宋体" w:hAnsi="宋体" w:eastAsia="宋体" w:cs="宋体"/>
          <w:b/>
          <w:bCs/>
          <w:color w:val="000000" w:themeColor="text1"/>
          <w:sz w:val="32"/>
          <w:highlight w:val="none"/>
          <w:lang w:val="en-US" w:eastAsia="zh-CN"/>
          <w14:textFill>
            <w14:solidFill>
              <w14:schemeClr w14:val="tx1"/>
            </w14:solidFill>
          </w14:textFill>
        </w:rPr>
      </w:pPr>
      <w:r>
        <w:rPr>
          <w:rFonts w:hint="eastAsia" w:ascii="宋体" w:hAnsi="宋体" w:eastAsia="宋体" w:cs="宋体"/>
          <w:b/>
          <w:bCs/>
          <w:color w:val="000000" w:themeColor="text1"/>
          <w:sz w:val="32"/>
          <w:highlight w:val="none"/>
          <w:lang w:val="en-US" w:eastAsia="zh-CN"/>
          <w14:textFill>
            <w14:solidFill>
              <w14:schemeClr w14:val="tx1"/>
            </w14:solidFill>
          </w14:textFill>
        </w:rPr>
        <w:t>二十二、项目负责人（仅1人）</w:t>
      </w:r>
    </w:p>
    <w:p w14:paraId="7BA55344">
      <w:pPr>
        <w:ind w:left="420"/>
        <w:jc w:val="center"/>
        <w:outlineLvl w:val="3"/>
        <w:rPr>
          <w:rFonts w:hint="eastAsia" w:ascii="宋体" w:hAnsi="宋体" w:eastAsia="宋体" w:cs="宋体"/>
          <w:b/>
          <w:bCs/>
          <w:color w:val="000000" w:themeColor="text1"/>
          <w:sz w:val="32"/>
          <w:highlight w:val="none"/>
          <w:lang w:val="en-US" w:eastAsia="zh-CN"/>
          <w14:textFill>
            <w14:solidFill>
              <w14:schemeClr w14:val="tx1"/>
            </w14:solidFill>
          </w14:textFill>
        </w:rPr>
      </w:pPr>
      <w:r>
        <w:rPr>
          <w:rFonts w:hint="eastAsia" w:ascii="宋体" w:hAnsi="宋体" w:eastAsia="宋体" w:cs="宋体"/>
          <w:b/>
          <w:bCs/>
          <w:color w:val="000000" w:themeColor="text1"/>
          <w:sz w:val="32"/>
          <w:highlight w:val="none"/>
          <w:lang w:val="en-US" w:eastAsia="zh-CN"/>
          <w14:textFill>
            <w14:solidFill>
              <w14:schemeClr w14:val="tx1"/>
            </w14:solidFill>
          </w14:textFill>
        </w:rPr>
        <w:t>二十三、拟派项目团队人员情况（项目负责人除外）</w:t>
      </w:r>
      <w:r>
        <w:rPr>
          <w:rFonts w:hint="default" w:ascii="宋体" w:hAnsi="宋体" w:eastAsia="宋体" w:cs="宋体"/>
          <w:b/>
          <w:bCs/>
          <w:color w:val="000000" w:themeColor="text1"/>
          <w:sz w:val="32"/>
          <w:highlight w:val="none"/>
          <w:lang w:val="en-US" w:eastAsia="zh-CN"/>
          <w14:textFill>
            <w14:solidFill>
              <w14:schemeClr w14:val="tx1"/>
            </w14:solidFill>
          </w14:textFill>
        </w:rPr>
        <w:t>-</w:t>
      </w:r>
      <w:r>
        <w:rPr>
          <w:rFonts w:hint="eastAsia" w:ascii="宋体" w:hAnsi="宋体" w:eastAsia="宋体" w:cs="宋体"/>
          <w:b/>
          <w:bCs/>
          <w:color w:val="000000" w:themeColor="text1"/>
          <w:sz w:val="32"/>
          <w:highlight w:val="none"/>
          <w:lang w:val="en-US" w:eastAsia="zh-CN"/>
          <w14:textFill>
            <w14:solidFill>
              <w14:schemeClr w14:val="tx1"/>
            </w14:solidFill>
          </w14:textFill>
        </w:rPr>
        <w:t>主厨</w:t>
      </w:r>
    </w:p>
    <w:p w14:paraId="1D5309D1">
      <w:pPr>
        <w:ind w:left="420"/>
        <w:jc w:val="center"/>
        <w:outlineLvl w:val="3"/>
        <w:rPr>
          <w:rFonts w:hint="eastAsia" w:ascii="宋体" w:hAnsi="宋体" w:eastAsia="宋体" w:cs="宋体"/>
          <w:b/>
          <w:bCs/>
          <w:color w:val="000000" w:themeColor="text1"/>
          <w:kern w:val="2"/>
          <w:sz w:val="32"/>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sz w:val="32"/>
          <w:highlight w:val="none"/>
          <w:lang w:val="en-US" w:eastAsia="zh-CN"/>
          <w14:textFill>
            <w14:solidFill>
              <w14:schemeClr w14:val="tx1"/>
            </w14:solidFill>
          </w14:textFill>
        </w:rPr>
        <w:t>二十四、</w:t>
      </w:r>
      <w:r>
        <w:rPr>
          <w:rFonts w:hint="eastAsia" w:ascii="宋体" w:hAnsi="宋体" w:eastAsia="宋体" w:cs="宋体"/>
          <w:b/>
          <w:bCs/>
          <w:color w:val="000000" w:themeColor="text1"/>
          <w:kern w:val="2"/>
          <w:sz w:val="32"/>
          <w:szCs w:val="24"/>
          <w:highlight w:val="none"/>
          <w:lang w:val="en-US" w:eastAsia="zh-CN" w:bidi="ar-SA"/>
          <w14:textFill>
            <w14:solidFill>
              <w14:schemeClr w14:val="tx1"/>
            </w14:solidFill>
          </w14:textFill>
        </w:rPr>
        <w:t>拟派项目团队人员情况（项目负责人、主厨除外）-大厨</w:t>
      </w:r>
    </w:p>
    <w:p w14:paraId="228BAB2F">
      <w:pPr>
        <w:ind w:left="420"/>
        <w:jc w:val="center"/>
        <w:outlineLvl w:val="3"/>
        <w:rPr>
          <w:rFonts w:hint="eastAsia" w:ascii="宋体" w:hAnsi="宋体" w:eastAsia="宋体" w:cs="宋体"/>
          <w:b/>
          <w:bCs/>
          <w:color w:val="000000" w:themeColor="text1"/>
          <w:sz w:val="32"/>
          <w:highlight w:val="none"/>
          <w:lang w:val="en-US" w:eastAsia="zh-CN"/>
          <w14:textFill>
            <w14:solidFill>
              <w14:schemeClr w14:val="tx1"/>
            </w14:solidFill>
          </w14:textFill>
        </w:rPr>
      </w:pPr>
      <w:r>
        <w:rPr>
          <w:rFonts w:hint="eastAsia" w:ascii="宋体" w:hAnsi="宋体" w:eastAsia="宋体" w:cs="宋体"/>
          <w:b/>
          <w:bCs/>
          <w:color w:val="000000" w:themeColor="text1"/>
          <w:sz w:val="32"/>
          <w:highlight w:val="none"/>
          <w:lang w:val="en-US" w:eastAsia="zh-CN"/>
          <w14:textFill>
            <w14:solidFill>
              <w14:schemeClr w14:val="tx1"/>
            </w14:solidFill>
          </w14:textFill>
        </w:rPr>
        <w:t>二十五、拟派项目团队人员情况其他团队成员（不含项目负责人、主厨、大厨）</w:t>
      </w:r>
    </w:p>
    <w:p w14:paraId="0FE940D5">
      <w:pPr>
        <w:ind w:left="420"/>
        <w:jc w:val="center"/>
        <w:outlineLvl w:val="3"/>
        <w:rPr>
          <w:rFonts w:hint="default" w:ascii="宋体" w:hAnsi="宋体" w:eastAsia="宋体" w:cs="宋体"/>
          <w:b/>
          <w:bCs/>
          <w:color w:val="000000" w:themeColor="text1"/>
          <w:sz w:val="32"/>
          <w:highlight w:val="none"/>
          <w:lang w:val="en-US" w:eastAsia="zh-CN"/>
          <w14:textFill>
            <w14:solidFill>
              <w14:schemeClr w14:val="tx1"/>
            </w14:solidFill>
          </w14:textFill>
        </w:rPr>
      </w:pPr>
      <w:r>
        <w:rPr>
          <w:rFonts w:hint="eastAsia" w:ascii="宋体" w:hAnsi="宋体" w:eastAsia="宋体" w:cs="宋体"/>
          <w:b/>
          <w:bCs/>
          <w:color w:val="000000" w:themeColor="text1"/>
          <w:sz w:val="32"/>
          <w:highlight w:val="none"/>
          <w:lang w:val="en-US" w:eastAsia="zh-CN"/>
          <w14:textFill>
            <w14:solidFill>
              <w14:schemeClr w14:val="tx1"/>
            </w14:solidFill>
          </w14:textFill>
        </w:rPr>
        <w:t>二十六、项目组织管理承诺</w:t>
      </w:r>
    </w:p>
    <w:p w14:paraId="176F70CD">
      <w:pPr>
        <w:rPr>
          <w:rFonts w:hint="eastAsia" w:ascii="宋体" w:hAnsi="宋体" w:eastAsia="宋体" w:cs="宋体"/>
          <w:sz w:val="22"/>
          <w:szCs w:val="22"/>
          <w:highlight w:val="none"/>
        </w:rPr>
      </w:pPr>
      <w:r>
        <w:rPr>
          <w:rFonts w:hint="default" w:ascii="宋体" w:hAnsi="宋体" w:eastAsia="宋体"/>
          <w:szCs w:val="21"/>
          <w:highlight w:val="none"/>
          <w:lang w:val="en-US" w:eastAsia="zh-CN"/>
        </w:rPr>
        <w:br w:type="page"/>
      </w:r>
    </w:p>
    <w:p w14:paraId="2FDE03F4">
      <w:pPr>
        <w:numPr>
          <w:ilvl w:val="0"/>
          <w:numId w:val="0"/>
        </w:numPr>
        <w:ind w:left="420" w:leftChars="0"/>
        <w:rPr>
          <w:rFonts w:hint="default" w:ascii="宋体" w:hAnsi="宋体" w:eastAsia="宋体" w:cs="宋体"/>
          <w:sz w:val="22"/>
          <w:szCs w:val="22"/>
          <w:highlight w:val="none"/>
          <w:lang w:val="en-US" w:eastAsia="zh-CN"/>
        </w:rPr>
      </w:pPr>
    </w:p>
    <w:p w14:paraId="57D4C40F">
      <w:pPr>
        <w:numPr>
          <w:ilvl w:val="0"/>
          <w:numId w:val="0"/>
        </w:numPr>
        <w:ind w:left="420" w:leftChars="0"/>
        <w:rPr>
          <w:rFonts w:hint="default" w:ascii="宋体" w:hAnsi="宋体" w:eastAsia="宋体" w:cs="宋体"/>
          <w:sz w:val="22"/>
          <w:szCs w:val="22"/>
          <w:highlight w:val="none"/>
          <w:lang w:val="en-US" w:eastAsia="zh-CN"/>
        </w:rPr>
      </w:pPr>
    </w:p>
    <w:p w14:paraId="7EF938B6">
      <w:pPr>
        <w:jc w:val="center"/>
        <w:outlineLvl w:val="3"/>
        <w:rPr>
          <w:rFonts w:ascii="宋体" w:hAnsi="宋体" w:cs="宋体"/>
          <w:b/>
          <w:bCs/>
          <w:color w:val="000000" w:themeColor="text1"/>
          <w:sz w:val="32"/>
          <w:highlight w:val="none"/>
          <w14:textFill>
            <w14:solidFill>
              <w14:schemeClr w14:val="tx1"/>
            </w14:solidFill>
          </w14:textFill>
        </w:rPr>
      </w:pPr>
      <w:r>
        <w:rPr>
          <w:rFonts w:hint="eastAsia" w:ascii="宋体" w:hAnsi="宋体" w:cs="宋体"/>
          <w:b/>
          <w:bCs/>
          <w:color w:val="000000" w:themeColor="text1"/>
          <w:sz w:val="32"/>
          <w:highlight w:val="none"/>
          <w:lang w:val="en-US" w:eastAsia="zh-CN"/>
          <w14:textFill>
            <w14:solidFill>
              <w14:schemeClr w14:val="tx1"/>
            </w14:solidFill>
          </w14:textFill>
        </w:rPr>
        <w:t>二十七</w:t>
      </w:r>
      <w:r>
        <w:rPr>
          <w:rFonts w:hint="eastAsia" w:ascii="宋体" w:hAnsi="宋体" w:cs="宋体"/>
          <w:b/>
          <w:bCs/>
          <w:color w:val="000000" w:themeColor="text1"/>
          <w:sz w:val="32"/>
          <w:highlight w:val="none"/>
          <w14:textFill>
            <w14:solidFill>
              <w14:schemeClr w14:val="tx1"/>
            </w14:solidFill>
          </w14:textFill>
        </w:rPr>
        <w:t>、中小企业、残疾人福利性单位和监狱企业政策导向</w:t>
      </w:r>
    </w:p>
    <w:p w14:paraId="7DF83DA4">
      <w:pPr>
        <w:adjustRightInd w:val="0"/>
        <w:snapToGrid w:val="0"/>
        <w:spacing w:line="360" w:lineRule="exact"/>
        <w:ind w:firstLine="440" w:firstLineChars="200"/>
        <w:jc w:val="center"/>
        <w:rPr>
          <w:rFonts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（如符合则提供）</w:t>
      </w:r>
    </w:p>
    <w:p w14:paraId="36EF79AE">
      <w:pPr>
        <w:spacing w:line="360" w:lineRule="auto"/>
        <w:ind w:firstLine="440" w:firstLineChars="200"/>
        <w:rPr>
          <w:rFonts w:ascii="宋体" w:hAnsi="宋体" w:cs="宋体"/>
          <w:bCs/>
          <w:color w:val="000000" w:themeColor="text1"/>
          <w:sz w:val="22"/>
          <w:szCs w:val="22"/>
          <w:highlight w:val="none"/>
          <w14:textFill>
            <w14:solidFill>
              <w14:schemeClr w14:val="tx1"/>
            </w14:solidFill>
          </w14:textFill>
        </w:rPr>
      </w:pPr>
      <w:r>
        <w:rPr>
          <w:rFonts w:hint="eastAsia" w:ascii="宋体" w:hAnsi="宋体" w:cs="宋体"/>
          <w:bCs/>
          <w:color w:val="000000" w:themeColor="text1"/>
          <w:sz w:val="22"/>
          <w:szCs w:val="22"/>
          <w:highlight w:val="none"/>
          <w14:textFill>
            <w14:solidFill>
              <w14:schemeClr w14:val="tx1"/>
            </w14:solidFill>
          </w14:textFill>
        </w:rPr>
        <w:t>填写指引：</w:t>
      </w:r>
    </w:p>
    <w:p w14:paraId="0EDFC232">
      <w:pPr>
        <w:spacing w:line="360" w:lineRule="auto"/>
        <w:ind w:firstLine="440" w:firstLineChars="200"/>
        <w:rPr>
          <w:rFonts w:ascii="宋体" w:hAnsi="宋体" w:cs="宋体"/>
          <w:bCs/>
          <w:color w:val="000000" w:themeColor="text1"/>
          <w:sz w:val="22"/>
          <w:szCs w:val="22"/>
          <w:highlight w:val="none"/>
          <w14:textFill>
            <w14:solidFill>
              <w14:schemeClr w14:val="tx1"/>
            </w14:solidFill>
          </w14:textFill>
        </w:rPr>
      </w:pPr>
      <w:r>
        <w:rPr>
          <w:rFonts w:hint="eastAsia" w:ascii="宋体" w:hAnsi="宋体" w:cs="宋体"/>
          <w:bCs/>
          <w:color w:val="000000" w:themeColor="text1"/>
          <w:sz w:val="22"/>
          <w:szCs w:val="22"/>
          <w:highlight w:val="none"/>
          <w14:textFill>
            <w14:solidFill>
              <w14:schemeClr w14:val="tx1"/>
            </w14:solidFill>
          </w14:textFill>
        </w:rPr>
        <w:t>1、该部分内容由供应商根据自身实际情况填写，不符合要求的供应商可以不填写或直接删除相应的声明函。供应商自行对声明内容的真实性负责；如提供虚假声明，将报送主管部门进行行政处罚。若无法确定是否为中小微企业，可查阅《关于印发中小企业划型标准规定的通知》（工信部联企业【2011】300号）或向深圳市中小企业服务局咨询。</w:t>
      </w:r>
    </w:p>
    <w:p w14:paraId="35165D49">
      <w:pPr>
        <w:spacing w:line="360" w:lineRule="auto"/>
        <w:ind w:firstLine="440" w:firstLineChars="200"/>
        <w:rPr>
          <w:rFonts w:ascii="宋体" w:hAnsi="宋体" w:cs="宋体"/>
          <w:bCs/>
          <w:color w:val="000000" w:themeColor="text1"/>
          <w:sz w:val="22"/>
          <w:szCs w:val="22"/>
          <w:highlight w:val="none"/>
          <w14:textFill>
            <w14:solidFill>
              <w14:schemeClr w14:val="tx1"/>
            </w14:solidFill>
          </w14:textFill>
        </w:rPr>
      </w:pPr>
      <w:r>
        <w:rPr>
          <w:rFonts w:hint="eastAsia" w:ascii="宋体" w:hAnsi="宋体" w:cs="宋体"/>
          <w:bCs/>
          <w:color w:val="000000" w:themeColor="text1"/>
          <w:sz w:val="22"/>
          <w:szCs w:val="22"/>
          <w:highlight w:val="none"/>
          <w14:textFill>
            <w14:solidFill>
              <w14:schemeClr w14:val="tx1"/>
            </w14:solidFill>
          </w14:textFill>
        </w:rPr>
        <w:t>2、该部分内容填写需要参考的相关文件：（1）《深圳市财政局关于落实有关政府采购优惠政策的意见》（深财购函【2019】868号）；(2)财政部《政府采购促进中小企业发展管理办法》；(3) 《工业和信息化部、国家统计局、国家发展和改革委员会、财政部关于印发中小企业划型标准规定的通知》（工信部联企业〔2011〕300 号）。</w:t>
      </w:r>
    </w:p>
    <w:p w14:paraId="68DE3433">
      <w:pPr>
        <w:spacing w:line="360" w:lineRule="auto"/>
        <w:ind w:firstLine="440" w:firstLineChars="200"/>
        <w:rPr>
          <w:rFonts w:ascii="宋体" w:hAnsi="宋体" w:cs="宋体"/>
          <w:bCs/>
          <w:color w:val="000000" w:themeColor="text1"/>
          <w:sz w:val="22"/>
          <w:szCs w:val="22"/>
          <w:highlight w:val="none"/>
          <w14:textFill>
            <w14:solidFill>
              <w14:schemeClr w14:val="tx1"/>
            </w14:solidFill>
          </w14:textFill>
        </w:rPr>
      </w:pPr>
      <w:r>
        <w:rPr>
          <w:rFonts w:hint="eastAsia" w:ascii="宋体" w:hAnsi="宋体" w:cs="宋体"/>
          <w:bCs/>
          <w:color w:val="000000" w:themeColor="text1"/>
          <w:sz w:val="22"/>
          <w:szCs w:val="22"/>
          <w:highlight w:val="none"/>
          <w14:textFill>
            <w14:solidFill>
              <w14:schemeClr w14:val="tx1"/>
            </w14:solidFill>
          </w14:textFill>
        </w:rPr>
        <w:t>3、请依照提供的格式和内容填写声明函，不要随意变更格式或增删内容；满足多项优惠政策的企业，不重复享受多项价格扣除政策。</w:t>
      </w:r>
    </w:p>
    <w:p w14:paraId="5A088640">
      <w:pPr>
        <w:spacing w:line="360" w:lineRule="auto"/>
        <w:ind w:firstLine="440" w:firstLineChars="200"/>
        <w:rPr>
          <w:rFonts w:ascii="宋体" w:hAnsi="宋体" w:cs="宋体"/>
          <w:bCs/>
          <w:color w:val="000000" w:themeColor="text1"/>
          <w:sz w:val="22"/>
          <w:szCs w:val="22"/>
          <w:highlight w:val="none"/>
          <w14:textFill>
            <w14:solidFill>
              <w14:schemeClr w14:val="tx1"/>
            </w14:solidFill>
          </w14:textFill>
        </w:rPr>
      </w:pPr>
      <w:r>
        <w:rPr>
          <w:rFonts w:hint="eastAsia" w:ascii="宋体" w:hAnsi="宋体" w:cs="宋体"/>
          <w:bCs/>
          <w:color w:val="000000" w:themeColor="text1"/>
          <w:sz w:val="22"/>
          <w:szCs w:val="22"/>
          <w:highlight w:val="none"/>
          <w14:textFill>
            <w14:solidFill>
              <w14:schemeClr w14:val="tx1"/>
            </w14:solidFill>
          </w14:textFill>
        </w:rPr>
        <w:t>4、声明函具体填写要求：</w:t>
      </w:r>
    </w:p>
    <w:p w14:paraId="37EA18B2">
      <w:pPr>
        <w:spacing w:line="360" w:lineRule="auto"/>
        <w:ind w:firstLine="442" w:firstLineChars="200"/>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（1）声明是中小企业须填写《中小企业声明函》的以下内容：</w:t>
      </w:r>
    </w:p>
    <w:p w14:paraId="3EA718DD">
      <w:pPr>
        <w:spacing w:line="360" w:lineRule="auto"/>
        <w:ind w:firstLine="442" w:firstLineChars="200"/>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在“采购单位名称”下划线处填写本项目的实际采购单位名称（深圳东海国际招标有限公司不是本项目的采购单位，而是本项目的组织实施机构）；</w:t>
      </w:r>
    </w:p>
    <w:p w14:paraId="48D4A9CD">
      <w:pPr>
        <w:spacing w:line="360" w:lineRule="auto"/>
        <w:ind w:firstLine="442" w:firstLineChars="200"/>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在“采购项目名称”下划线处填写本项目的实际项目名称（项目名称可在招标公告处查看）；</w:t>
      </w:r>
    </w:p>
    <w:p w14:paraId="6FA38904">
      <w:pPr>
        <w:spacing w:line="360" w:lineRule="auto"/>
        <w:ind w:firstLine="442" w:firstLineChars="200"/>
        <w:rPr>
          <w:rFonts w:hint="eastAsia"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在“标的名称”下划线处填写招标文件中采购需求中相对应的名称；</w:t>
      </w:r>
    </w:p>
    <w:p w14:paraId="620D86B5">
      <w:pPr>
        <w:spacing w:line="360" w:lineRule="auto"/>
        <w:ind w:firstLine="442" w:firstLineChars="200"/>
        <w:rPr>
          <w:rFonts w:hint="eastAsia"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在“采购文件中明确的所属行业”中填写对应的行业类别；</w:t>
      </w:r>
    </w:p>
    <w:p w14:paraId="4037B7A8">
      <w:pPr>
        <w:spacing w:line="360" w:lineRule="auto"/>
        <w:ind w:firstLine="442" w:firstLineChars="200"/>
        <w:rPr>
          <w:rFonts w:hint="eastAsia"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在“企业名称”中填写所提供货物的制造商的企业名称，并如实填写该企业需要填报的其他情况。</w:t>
      </w:r>
    </w:p>
    <w:p w14:paraId="33F69ACC">
      <w:pPr>
        <w:spacing w:line="360" w:lineRule="auto"/>
        <w:ind w:firstLine="442" w:firstLineChars="200"/>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 xml:space="preserve">    在“中型企业、小型企业、微型企业”下划线处根据自身实际情况在三个选项中填写符合相关政策要求的一个；</w:t>
      </w:r>
    </w:p>
    <w:p w14:paraId="7E55EA2B">
      <w:pPr>
        <w:spacing w:line="360" w:lineRule="auto"/>
        <w:ind w:firstLine="440" w:firstLineChars="200"/>
        <w:rPr>
          <w:rFonts w:ascii="宋体" w:hAnsi="宋体" w:cs="宋体"/>
          <w:bCs/>
          <w:color w:val="000000" w:themeColor="text1"/>
          <w:sz w:val="22"/>
          <w:szCs w:val="22"/>
          <w:highlight w:val="none"/>
          <w14:textFill>
            <w14:solidFill>
              <w14:schemeClr w14:val="tx1"/>
            </w14:solidFill>
          </w14:textFill>
        </w:rPr>
      </w:pPr>
      <w:r>
        <w:rPr>
          <w:rFonts w:hint="eastAsia" w:ascii="宋体" w:hAnsi="宋体" w:cs="宋体"/>
          <w:bCs/>
          <w:color w:val="000000" w:themeColor="text1"/>
          <w:sz w:val="22"/>
          <w:szCs w:val="22"/>
          <w:highlight w:val="none"/>
          <w14:textFill>
            <w14:solidFill>
              <w14:schemeClr w14:val="tx1"/>
            </w14:solidFill>
          </w14:textFill>
        </w:rPr>
        <w:t>（2）声明是残疾人福利性单位须填写《残疾人福利性单位声明函》的三项内容（填写位置的字体已加粗），具体参照以上《中小企业声明函》填写要求执行。</w:t>
      </w:r>
    </w:p>
    <w:p w14:paraId="28B11B3B">
      <w:pPr>
        <w:rPr>
          <w:rFonts w:ascii="宋体" w:hAnsi="宋体" w:cs="宋体"/>
          <w:b/>
          <w:color w:val="000000" w:themeColor="text1"/>
          <w:szCs w:val="21"/>
          <w:highlight w:val="none"/>
          <w14:textFill>
            <w14:solidFill>
              <w14:schemeClr w14:val="tx1"/>
            </w14:solidFill>
          </w14:textFill>
        </w:rPr>
      </w:pPr>
      <w:r>
        <w:rPr>
          <w:rFonts w:hint="eastAsia" w:ascii="宋体" w:hAnsi="宋体" w:cs="宋体"/>
          <w:bCs/>
          <w:color w:val="000000" w:themeColor="text1"/>
          <w:sz w:val="22"/>
          <w:szCs w:val="22"/>
          <w:highlight w:val="none"/>
          <w14:textFill>
            <w14:solidFill>
              <w14:schemeClr w14:val="tx1"/>
            </w14:solidFill>
          </w14:textFill>
        </w:rPr>
        <w:t>5、声明函的有效性最终由评审委员会判定。</w:t>
      </w:r>
    </w:p>
    <w:p w14:paraId="72D338D0">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p>
    <w:p w14:paraId="2DCA6349">
      <w:pPr>
        <w:rPr>
          <w:color w:val="000000" w:themeColor="text1"/>
          <w:highlight w:val="none"/>
          <w14:textFill>
            <w14:solidFill>
              <w14:schemeClr w14:val="tx1"/>
            </w14:solidFill>
          </w14:textFill>
        </w:rPr>
      </w:pPr>
    </w:p>
    <w:p w14:paraId="47101255">
      <w:pPr>
        <w:adjustRightInd w:val="0"/>
        <w:snapToGrid w:val="0"/>
        <w:spacing w:line="360" w:lineRule="auto"/>
        <w:jc w:val="center"/>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（一）中小企</w:t>
      </w:r>
      <w:r>
        <w:rPr>
          <w:rFonts w:hint="eastAsia" w:ascii="宋体" w:hAnsi="宋体" w:cs="宋体"/>
          <w:b/>
          <w:bCs/>
          <w:color w:val="000000" w:themeColor="text1"/>
          <w:sz w:val="22"/>
          <w:szCs w:val="22"/>
          <w:highlight w:val="none"/>
          <w14:textFill>
            <w14:solidFill>
              <w14:schemeClr w14:val="tx1"/>
            </w14:solidFill>
          </w14:textFill>
        </w:rPr>
        <w:t>业声明函</w:t>
      </w:r>
    </w:p>
    <w:p w14:paraId="0BA6CE7F">
      <w:pPr>
        <w:ind w:firstLine="440" w:firstLineChars="200"/>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本公司（联合体）郑重声明，根据《政府采购促进中小企业发展管理办法》（财库﹝2020﹞46号）的规定，本公司</w:t>
      </w:r>
    </w:p>
    <w:p w14:paraId="24FAF4A1">
      <w:pPr>
        <w:ind w:firstLine="440" w:firstLineChars="200"/>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（联合体）参加</w:t>
      </w:r>
      <w:r>
        <w:rPr>
          <w:rFonts w:hint="eastAsia" w:ascii="宋体" w:hAnsi="宋体" w:cs="宋体"/>
          <w:b/>
          <w:bCs/>
          <w:color w:val="000000" w:themeColor="text1"/>
          <w:sz w:val="22"/>
          <w:szCs w:val="22"/>
          <w:highlight w:val="none"/>
          <w:u w:val="single"/>
          <w14:textFill>
            <w14:solidFill>
              <w14:schemeClr w14:val="tx1"/>
            </w14:solidFill>
          </w14:textFill>
        </w:rPr>
        <w:t>（单位名称）</w:t>
      </w:r>
      <w:r>
        <w:rPr>
          <w:rFonts w:hint="eastAsia" w:ascii="宋体" w:hAnsi="宋体" w:cs="宋体"/>
          <w:color w:val="000000" w:themeColor="text1"/>
          <w:sz w:val="22"/>
          <w:szCs w:val="22"/>
          <w:highlight w:val="none"/>
          <w14:textFill>
            <w14:solidFill>
              <w14:schemeClr w14:val="tx1"/>
            </w14:solidFill>
          </w14:textFill>
        </w:rPr>
        <w:t>的</w:t>
      </w:r>
      <w:r>
        <w:rPr>
          <w:rFonts w:hint="eastAsia" w:ascii="宋体" w:hAnsi="宋体" w:cs="宋体"/>
          <w:b/>
          <w:bCs/>
          <w:color w:val="000000" w:themeColor="text1"/>
          <w:sz w:val="22"/>
          <w:szCs w:val="22"/>
          <w:highlight w:val="none"/>
          <w:u w:val="single"/>
          <w14:textFill>
            <w14:solidFill>
              <w14:schemeClr w14:val="tx1"/>
            </w14:solidFill>
          </w14:textFill>
        </w:rPr>
        <w:t>（项目名称）</w:t>
      </w:r>
      <w:r>
        <w:rPr>
          <w:rFonts w:hint="eastAsia" w:ascii="宋体" w:hAnsi="宋体" w:cs="宋体"/>
          <w:color w:val="000000" w:themeColor="text1"/>
          <w:sz w:val="22"/>
          <w:szCs w:val="22"/>
          <w:highlight w:val="none"/>
          <w14:textFill>
            <w14:solidFill>
              <w14:schemeClr w14:val="tx1"/>
            </w14:solidFill>
          </w14:textFill>
        </w:rPr>
        <w:t>采购活动，服务全部由符合政策要求的中小企业承接。相关企业（含联合体中的中小企业、签订分包意向协议的中小企业）的具体情况如下：</w:t>
      </w:r>
    </w:p>
    <w:p w14:paraId="43F92A69">
      <w:pPr>
        <w:ind w:firstLine="442" w:firstLineChars="200"/>
        <w:rPr>
          <w:rFonts w:ascii="宋体" w:hAnsi="宋体" w:cs="宋体"/>
          <w:color w:val="000000" w:themeColor="text1"/>
          <w:sz w:val="22"/>
          <w:szCs w:val="22"/>
          <w:highlight w:val="none"/>
          <w14:textFill>
            <w14:solidFill>
              <w14:schemeClr w14:val="tx1"/>
            </w14:solidFill>
          </w14:textFill>
        </w:rPr>
      </w:pPr>
      <w:r>
        <w:rPr>
          <w:rFonts w:hint="eastAsia" w:ascii="宋体" w:hAnsi="宋体" w:cs="宋体"/>
          <w:b/>
          <w:bCs/>
          <w:color w:val="000000" w:themeColor="text1"/>
          <w:sz w:val="22"/>
          <w:szCs w:val="22"/>
          <w:highlight w:val="none"/>
          <w:u w:val="single"/>
          <w14:textFill>
            <w14:solidFill>
              <w14:schemeClr w14:val="tx1"/>
            </w14:solidFill>
          </w14:textFill>
        </w:rPr>
        <w:t>（标的名称）</w:t>
      </w:r>
      <w:r>
        <w:rPr>
          <w:rFonts w:hint="eastAsia" w:ascii="宋体" w:hAnsi="宋体" w:cs="宋体"/>
          <w:color w:val="000000" w:themeColor="text1"/>
          <w:sz w:val="22"/>
          <w:szCs w:val="22"/>
          <w:highlight w:val="none"/>
          <w14:textFill>
            <w14:solidFill>
              <w14:schemeClr w14:val="tx1"/>
            </w14:solidFill>
          </w14:textFill>
        </w:rPr>
        <w:t>，属于</w:t>
      </w:r>
      <w:r>
        <w:rPr>
          <w:rFonts w:hint="eastAsia" w:ascii="宋体" w:hAnsi="宋体" w:cs="宋体"/>
          <w:b/>
          <w:bCs/>
          <w:color w:val="000000" w:themeColor="text1"/>
          <w:sz w:val="22"/>
          <w:szCs w:val="22"/>
          <w:highlight w:val="none"/>
          <w:u w:val="single"/>
          <w14:textFill>
            <w14:solidFill>
              <w14:schemeClr w14:val="tx1"/>
            </w14:solidFill>
          </w14:textFill>
        </w:rPr>
        <w:t>（采购文件中明确的所属行业）</w:t>
      </w:r>
      <w:r>
        <w:rPr>
          <w:rFonts w:hint="eastAsia" w:ascii="宋体" w:hAnsi="宋体" w:cs="宋体"/>
          <w:color w:val="000000" w:themeColor="text1"/>
          <w:sz w:val="22"/>
          <w:szCs w:val="22"/>
          <w:highlight w:val="none"/>
          <w14:textFill>
            <w14:solidFill>
              <w14:schemeClr w14:val="tx1"/>
            </w14:solidFill>
          </w14:textFill>
        </w:rPr>
        <w:t>；承接企业为</w:t>
      </w:r>
      <w:r>
        <w:rPr>
          <w:rFonts w:hint="eastAsia" w:ascii="宋体" w:hAnsi="宋体" w:cs="宋体"/>
          <w:b/>
          <w:bCs/>
          <w:color w:val="000000" w:themeColor="text1"/>
          <w:sz w:val="22"/>
          <w:szCs w:val="22"/>
          <w:highlight w:val="none"/>
          <w:u w:val="single"/>
          <w14:textFill>
            <w14:solidFill>
              <w14:schemeClr w14:val="tx1"/>
            </w14:solidFill>
          </w14:textFill>
        </w:rPr>
        <w:t>（企业名称）</w:t>
      </w:r>
      <w:r>
        <w:rPr>
          <w:rFonts w:hint="eastAsia" w:ascii="宋体" w:hAnsi="宋体" w:cs="宋体"/>
          <w:b/>
          <w:bCs/>
          <w:color w:val="000000" w:themeColor="text1"/>
          <w:sz w:val="22"/>
          <w:szCs w:val="22"/>
          <w:highlight w:val="none"/>
          <w14:textFill>
            <w14:solidFill>
              <w14:schemeClr w14:val="tx1"/>
            </w14:solidFill>
          </w14:textFill>
        </w:rPr>
        <w:t>，从业人员</w:t>
      </w:r>
      <w:r>
        <w:rPr>
          <w:rFonts w:hint="eastAsia" w:ascii="宋体" w:hAnsi="宋体" w:cs="宋体"/>
          <w:b/>
          <w:bCs/>
          <w:color w:val="000000" w:themeColor="text1"/>
          <w:sz w:val="22"/>
          <w:szCs w:val="22"/>
          <w:highlight w:val="none"/>
          <w:u w:val="single"/>
          <w14:textFill>
            <w14:solidFill>
              <w14:schemeClr w14:val="tx1"/>
            </w14:solidFill>
          </w14:textFill>
        </w:rPr>
        <w:tab/>
      </w:r>
      <w:r>
        <w:rPr>
          <w:rFonts w:hint="eastAsia" w:ascii="宋体" w:hAnsi="宋体" w:cs="宋体"/>
          <w:b/>
          <w:bCs/>
          <w:color w:val="000000" w:themeColor="text1"/>
          <w:sz w:val="22"/>
          <w:szCs w:val="22"/>
          <w:highlight w:val="none"/>
          <w14:textFill>
            <w14:solidFill>
              <w14:schemeClr w14:val="tx1"/>
            </w14:solidFill>
          </w14:textFill>
        </w:rPr>
        <w:t>人，营业收入为</w:t>
      </w:r>
      <w:r>
        <w:rPr>
          <w:rFonts w:hint="eastAsia" w:ascii="宋体" w:hAnsi="宋体" w:cs="宋体"/>
          <w:b/>
          <w:bCs/>
          <w:color w:val="000000" w:themeColor="text1"/>
          <w:sz w:val="22"/>
          <w:szCs w:val="22"/>
          <w:highlight w:val="none"/>
          <w:u w:val="single"/>
          <w14:textFill>
            <w14:solidFill>
              <w14:schemeClr w14:val="tx1"/>
            </w14:solidFill>
          </w14:textFill>
        </w:rPr>
        <w:tab/>
      </w:r>
      <w:r>
        <w:rPr>
          <w:rFonts w:hint="eastAsia" w:ascii="宋体" w:hAnsi="宋体" w:cs="宋体"/>
          <w:b/>
          <w:bCs/>
          <w:color w:val="000000" w:themeColor="text1"/>
          <w:sz w:val="22"/>
          <w:szCs w:val="22"/>
          <w:highlight w:val="none"/>
          <w14:textFill>
            <w14:solidFill>
              <w14:schemeClr w14:val="tx1"/>
            </w14:solidFill>
          </w14:textFill>
        </w:rPr>
        <w:t>万元，资产总额为</w:t>
      </w:r>
      <w:r>
        <w:rPr>
          <w:rFonts w:hint="eastAsia" w:ascii="宋体" w:hAnsi="宋体" w:cs="宋体"/>
          <w:b/>
          <w:bCs/>
          <w:color w:val="000000" w:themeColor="text1"/>
          <w:sz w:val="22"/>
          <w:szCs w:val="22"/>
          <w:highlight w:val="none"/>
          <w:u w:val="single"/>
          <w14:textFill>
            <w14:solidFill>
              <w14:schemeClr w14:val="tx1"/>
            </w14:solidFill>
          </w14:textFill>
        </w:rPr>
        <w:tab/>
      </w:r>
      <w:r>
        <w:rPr>
          <w:rFonts w:hint="eastAsia" w:ascii="宋体" w:hAnsi="宋体" w:cs="宋体"/>
          <w:b/>
          <w:bCs/>
          <w:color w:val="000000" w:themeColor="text1"/>
          <w:sz w:val="22"/>
          <w:szCs w:val="22"/>
          <w:highlight w:val="none"/>
          <w14:textFill>
            <w14:solidFill>
              <w14:schemeClr w14:val="tx1"/>
            </w14:solidFill>
          </w14:textFill>
        </w:rPr>
        <w:t>万元，属于</w:t>
      </w:r>
      <w:r>
        <w:rPr>
          <w:rFonts w:hint="eastAsia" w:ascii="宋体" w:hAnsi="宋体" w:cs="宋体"/>
          <w:b/>
          <w:bCs/>
          <w:color w:val="000000" w:themeColor="text1"/>
          <w:sz w:val="22"/>
          <w:szCs w:val="22"/>
          <w:highlight w:val="none"/>
          <w:u w:val="single"/>
          <w14:textFill>
            <w14:solidFill>
              <w14:schemeClr w14:val="tx1"/>
            </w14:solidFill>
          </w14:textFill>
        </w:rPr>
        <w:t>（中型企业、小型企业、微型企业）</w:t>
      </w:r>
    </w:p>
    <w:p w14:paraId="056C371A">
      <w:pPr>
        <w:ind w:firstLine="442" w:firstLineChars="200"/>
        <w:rPr>
          <w:rFonts w:ascii="宋体" w:hAnsi="宋体" w:cs="宋体"/>
          <w:color w:val="000000" w:themeColor="text1"/>
          <w:sz w:val="22"/>
          <w:szCs w:val="22"/>
          <w:highlight w:val="none"/>
          <w14:textFill>
            <w14:solidFill>
              <w14:schemeClr w14:val="tx1"/>
            </w14:solidFill>
          </w14:textFill>
        </w:rPr>
      </w:pPr>
      <w:r>
        <w:rPr>
          <w:rFonts w:hint="eastAsia" w:ascii="宋体" w:hAnsi="宋体" w:cs="宋体"/>
          <w:b/>
          <w:bCs/>
          <w:color w:val="000000" w:themeColor="text1"/>
          <w:sz w:val="22"/>
          <w:szCs w:val="22"/>
          <w:highlight w:val="none"/>
          <w:u w:val="single"/>
          <w14:textFill>
            <w14:solidFill>
              <w14:schemeClr w14:val="tx1"/>
            </w14:solidFill>
          </w14:textFill>
        </w:rPr>
        <w:t>（标的名称）</w:t>
      </w:r>
      <w:r>
        <w:rPr>
          <w:rFonts w:hint="eastAsia" w:ascii="宋体" w:hAnsi="宋体" w:cs="宋体"/>
          <w:color w:val="000000" w:themeColor="text1"/>
          <w:sz w:val="22"/>
          <w:szCs w:val="22"/>
          <w:highlight w:val="none"/>
          <w14:textFill>
            <w14:solidFill>
              <w14:schemeClr w14:val="tx1"/>
            </w14:solidFill>
          </w14:textFill>
        </w:rPr>
        <w:t>，属于</w:t>
      </w:r>
      <w:r>
        <w:rPr>
          <w:rFonts w:hint="eastAsia" w:ascii="宋体" w:hAnsi="宋体" w:cs="宋体"/>
          <w:b/>
          <w:bCs/>
          <w:color w:val="000000" w:themeColor="text1"/>
          <w:sz w:val="22"/>
          <w:szCs w:val="22"/>
          <w:highlight w:val="none"/>
          <w:u w:val="single"/>
          <w14:textFill>
            <w14:solidFill>
              <w14:schemeClr w14:val="tx1"/>
            </w14:solidFill>
          </w14:textFill>
        </w:rPr>
        <w:t>（采购文件中明确的所属行业）</w:t>
      </w:r>
      <w:r>
        <w:rPr>
          <w:rFonts w:hint="eastAsia" w:ascii="宋体" w:hAnsi="宋体" w:cs="宋体"/>
          <w:color w:val="000000" w:themeColor="text1"/>
          <w:sz w:val="22"/>
          <w:szCs w:val="22"/>
          <w:highlight w:val="none"/>
          <w14:textFill>
            <w14:solidFill>
              <w14:schemeClr w14:val="tx1"/>
            </w14:solidFill>
          </w14:textFill>
        </w:rPr>
        <w:t>；承接企业为</w:t>
      </w:r>
      <w:r>
        <w:rPr>
          <w:rFonts w:hint="eastAsia" w:ascii="宋体" w:hAnsi="宋体" w:cs="宋体"/>
          <w:b/>
          <w:bCs/>
          <w:color w:val="000000" w:themeColor="text1"/>
          <w:sz w:val="22"/>
          <w:szCs w:val="22"/>
          <w:highlight w:val="none"/>
          <w:u w:val="single"/>
          <w14:textFill>
            <w14:solidFill>
              <w14:schemeClr w14:val="tx1"/>
            </w14:solidFill>
          </w14:textFill>
        </w:rPr>
        <w:t>（企业名称）</w:t>
      </w:r>
      <w:r>
        <w:rPr>
          <w:rFonts w:hint="eastAsia" w:ascii="宋体" w:hAnsi="宋体" w:cs="宋体"/>
          <w:b/>
          <w:bCs/>
          <w:color w:val="000000" w:themeColor="text1"/>
          <w:sz w:val="22"/>
          <w:szCs w:val="22"/>
          <w:highlight w:val="none"/>
          <w14:textFill>
            <w14:solidFill>
              <w14:schemeClr w14:val="tx1"/>
            </w14:solidFill>
          </w14:textFill>
        </w:rPr>
        <w:t>，从业人员</w:t>
      </w:r>
      <w:r>
        <w:rPr>
          <w:rFonts w:hint="eastAsia" w:ascii="宋体" w:hAnsi="宋体" w:cs="宋体"/>
          <w:b/>
          <w:bCs/>
          <w:color w:val="000000" w:themeColor="text1"/>
          <w:sz w:val="22"/>
          <w:szCs w:val="22"/>
          <w:highlight w:val="none"/>
          <w:u w:val="single"/>
          <w14:textFill>
            <w14:solidFill>
              <w14:schemeClr w14:val="tx1"/>
            </w14:solidFill>
          </w14:textFill>
        </w:rPr>
        <w:tab/>
      </w:r>
      <w:r>
        <w:rPr>
          <w:rFonts w:hint="eastAsia" w:ascii="宋体" w:hAnsi="宋体" w:cs="宋体"/>
          <w:b/>
          <w:bCs/>
          <w:color w:val="000000" w:themeColor="text1"/>
          <w:sz w:val="22"/>
          <w:szCs w:val="22"/>
          <w:highlight w:val="none"/>
          <w14:textFill>
            <w14:solidFill>
              <w14:schemeClr w14:val="tx1"/>
            </w14:solidFill>
          </w14:textFill>
        </w:rPr>
        <w:t>人，营业收入为</w:t>
      </w:r>
      <w:r>
        <w:rPr>
          <w:rFonts w:hint="eastAsia" w:ascii="宋体" w:hAnsi="宋体" w:cs="宋体"/>
          <w:b/>
          <w:bCs/>
          <w:color w:val="000000" w:themeColor="text1"/>
          <w:sz w:val="22"/>
          <w:szCs w:val="22"/>
          <w:highlight w:val="none"/>
          <w:u w:val="single"/>
          <w14:textFill>
            <w14:solidFill>
              <w14:schemeClr w14:val="tx1"/>
            </w14:solidFill>
          </w14:textFill>
        </w:rPr>
        <w:tab/>
      </w:r>
      <w:r>
        <w:rPr>
          <w:rFonts w:hint="eastAsia" w:ascii="宋体" w:hAnsi="宋体" w:cs="宋体"/>
          <w:b/>
          <w:bCs/>
          <w:color w:val="000000" w:themeColor="text1"/>
          <w:sz w:val="22"/>
          <w:szCs w:val="22"/>
          <w:highlight w:val="none"/>
          <w14:textFill>
            <w14:solidFill>
              <w14:schemeClr w14:val="tx1"/>
            </w14:solidFill>
          </w14:textFill>
        </w:rPr>
        <w:t>万元，资产总额为</w:t>
      </w:r>
      <w:r>
        <w:rPr>
          <w:rFonts w:hint="eastAsia" w:ascii="宋体" w:hAnsi="宋体" w:cs="宋体"/>
          <w:b/>
          <w:bCs/>
          <w:color w:val="000000" w:themeColor="text1"/>
          <w:sz w:val="22"/>
          <w:szCs w:val="22"/>
          <w:highlight w:val="none"/>
          <w:u w:val="single"/>
          <w14:textFill>
            <w14:solidFill>
              <w14:schemeClr w14:val="tx1"/>
            </w14:solidFill>
          </w14:textFill>
        </w:rPr>
        <w:tab/>
      </w:r>
      <w:r>
        <w:rPr>
          <w:rFonts w:hint="eastAsia" w:ascii="宋体" w:hAnsi="宋体" w:cs="宋体"/>
          <w:b/>
          <w:bCs/>
          <w:color w:val="000000" w:themeColor="text1"/>
          <w:sz w:val="22"/>
          <w:szCs w:val="22"/>
          <w:highlight w:val="none"/>
          <w14:textFill>
            <w14:solidFill>
              <w14:schemeClr w14:val="tx1"/>
            </w14:solidFill>
          </w14:textFill>
        </w:rPr>
        <w:t>万元，属于</w:t>
      </w:r>
      <w:r>
        <w:rPr>
          <w:rFonts w:hint="eastAsia" w:ascii="宋体" w:hAnsi="宋体" w:cs="宋体"/>
          <w:b/>
          <w:bCs/>
          <w:color w:val="000000" w:themeColor="text1"/>
          <w:sz w:val="22"/>
          <w:szCs w:val="22"/>
          <w:highlight w:val="none"/>
          <w:u w:val="single"/>
          <w14:textFill>
            <w14:solidFill>
              <w14:schemeClr w14:val="tx1"/>
            </w14:solidFill>
          </w14:textFill>
        </w:rPr>
        <w:t>（中型企业、小型企业、微型企业）</w:t>
      </w:r>
    </w:p>
    <w:p w14:paraId="6EFD1363">
      <w:pPr>
        <w:ind w:firstLine="440" w:firstLineChars="200"/>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w:t>
      </w:r>
    </w:p>
    <w:p w14:paraId="412BCC0B">
      <w:pPr>
        <w:ind w:firstLine="440" w:firstLineChars="200"/>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以上企业，不属于大企业的分支机构，不存在控股股东为大企业的情形，也不存在与大企业的负责人为同一人的情形。</w:t>
      </w:r>
    </w:p>
    <w:p w14:paraId="4164A1D8">
      <w:pPr>
        <w:ind w:firstLine="440" w:firstLineChars="200"/>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本企业对上述声明内容的真实性负责。如有虚假，将依法承担相应责任。</w:t>
      </w:r>
    </w:p>
    <w:p w14:paraId="14AB1335">
      <w:pPr>
        <w:spacing w:line="360" w:lineRule="exact"/>
        <w:ind w:firstLine="440" w:firstLineChars="200"/>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本公司知悉《政府采购促进中小企业发展管理办法》（财库〔2020〕46号）、《中小企业划型标准规定》（工信部联企〔2011〕300号）、《统计上大中小微型企业划分办法（2017）》等 规定，承诺提供的声明函内容是真实的，并知悉根据《政府 采购促进中小企业发展管理办法》（财库〔2020〕46号）第二十条规定，本公司按照本办法规定提供声明函内容不实的，属于提供虚假材料谋取中标、成交，依照《政府采购法》等政府采购有关法律法规规定追究相应责任。</w:t>
      </w:r>
    </w:p>
    <w:p w14:paraId="1684B7C6">
      <w:pPr>
        <w:ind w:firstLine="440" w:firstLineChars="200"/>
        <w:jc w:val="center"/>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 xml:space="preserve">                                   </w:t>
      </w:r>
    </w:p>
    <w:p w14:paraId="582DF80F">
      <w:pPr>
        <w:ind w:firstLine="440" w:firstLineChars="200"/>
        <w:jc w:val="center"/>
        <w:rPr>
          <w:rFonts w:hint="eastAsia" w:ascii="宋体" w:hAnsi="宋体" w:cs="宋体"/>
          <w:color w:val="000000" w:themeColor="text1"/>
          <w:sz w:val="22"/>
          <w:szCs w:val="22"/>
          <w:highlight w:val="none"/>
          <w14:textFill>
            <w14:solidFill>
              <w14:schemeClr w14:val="tx1"/>
            </w14:solidFill>
          </w14:textFill>
        </w:rPr>
      </w:pPr>
    </w:p>
    <w:p w14:paraId="0181B2D0">
      <w:pPr>
        <w:ind w:firstLine="440" w:firstLineChars="200"/>
        <w:jc w:val="center"/>
        <w:rPr>
          <w:rFonts w:ascii="宋体" w:hAnsi="宋体" w:cs="宋体"/>
          <w:color w:val="000000" w:themeColor="text1"/>
          <w:sz w:val="22"/>
          <w:szCs w:val="22"/>
          <w:highlight w:val="none"/>
          <w:u w:val="single"/>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 xml:space="preserve">                                 </w:t>
      </w:r>
      <w:r>
        <w:rPr>
          <w:rFonts w:hint="eastAsia" w:ascii="宋体" w:hAnsi="宋体" w:cs="宋体"/>
          <w:color w:val="000000" w:themeColor="text1"/>
          <w:sz w:val="22"/>
          <w:szCs w:val="22"/>
          <w:highlight w:val="none"/>
          <w14:textFill>
            <w14:solidFill>
              <w14:schemeClr w14:val="tx1"/>
            </w14:solidFill>
          </w14:textFill>
        </w:rPr>
        <w:t>企业名称（盖章）：</w:t>
      </w:r>
    </w:p>
    <w:p w14:paraId="6D709ABA">
      <w:pPr>
        <w:ind w:firstLine="420" w:firstLineChars="200"/>
        <w:jc w:val="center"/>
        <w:rPr>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                                 日期：</w:t>
      </w:r>
    </w:p>
    <w:p w14:paraId="3293D837">
      <w:pPr>
        <w:rPr>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（从业人员、营业收入、资产总额上一年度数据，无上一年度数据的新成立企业可不填报）</w:t>
      </w:r>
    </w:p>
    <w:p w14:paraId="15A4C8E3">
      <w:pPr>
        <w:spacing w:line="360" w:lineRule="exact"/>
        <w:ind w:firstLine="4840" w:firstLineChars="2200"/>
        <w:rPr>
          <w:rFonts w:ascii="宋体" w:hAnsi="宋体" w:cs="宋体"/>
          <w:color w:val="000000" w:themeColor="text1"/>
          <w:sz w:val="22"/>
          <w:highlight w:val="none"/>
          <w:u w:val="single"/>
          <w14:textFill>
            <w14:solidFill>
              <w14:schemeClr w14:val="tx1"/>
            </w14:solidFill>
          </w14:textFill>
        </w:rPr>
      </w:pPr>
    </w:p>
    <w:p w14:paraId="03264B14">
      <w:pPr>
        <w:spacing w:line="360" w:lineRule="exact"/>
        <w:jc w:val="center"/>
        <w:rPr>
          <w:rFonts w:ascii="宋体" w:hAnsi="宋体" w:cs="宋体"/>
          <w:b/>
          <w:color w:val="000000" w:themeColor="text1"/>
          <w:spacing w:val="6"/>
          <w:sz w:val="22"/>
          <w:highlight w:val="none"/>
          <w14:textFill>
            <w14:solidFill>
              <w14:schemeClr w14:val="tx1"/>
            </w14:solidFill>
          </w14:textFill>
        </w:rPr>
      </w:pPr>
      <w:r>
        <w:rPr>
          <w:rFonts w:hint="eastAsia" w:ascii="宋体" w:hAnsi="宋体" w:cs="宋体"/>
          <w:b/>
          <w:color w:val="000000" w:themeColor="text1"/>
          <w:spacing w:val="6"/>
          <w:sz w:val="22"/>
          <w:highlight w:val="none"/>
          <w14:textFill>
            <w14:solidFill>
              <w14:schemeClr w14:val="tx1"/>
            </w14:solidFill>
          </w14:textFill>
        </w:rPr>
        <w:t>（二）残疾人福利性单位声明函</w:t>
      </w:r>
    </w:p>
    <w:p w14:paraId="169D99A2">
      <w:pPr>
        <w:spacing w:line="360" w:lineRule="exact"/>
        <w:jc w:val="left"/>
        <w:rPr>
          <w:color w:val="000000" w:themeColor="text1"/>
          <w:spacing w:val="6"/>
          <w:sz w:val="22"/>
          <w:highlight w:val="none"/>
          <w14:textFill>
            <w14:solidFill>
              <w14:schemeClr w14:val="tx1"/>
            </w14:solidFill>
          </w14:textFill>
        </w:rPr>
      </w:pPr>
      <w:r>
        <w:rPr>
          <w:color w:val="000000" w:themeColor="text1"/>
          <w:spacing w:val="6"/>
          <w:sz w:val="22"/>
          <w:highlight w:val="none"/>
          <w14:textFill>
            <w14:solidFill>
              <w14:schemeClr w14:val="tx1"/>
            </w14:solidFill>
          </w14:textFill>
        </w:rPr>
        <w:t>本单位郑重声明，根据《财政部 民政部 中国残疾人联合会关于促进残疾人就业政府采购政策的通知》（财库</w:t>
      </w:r>
      <w:r>
        <w:rPr>
          <w:color w:val="000000" w:themeColor="text1"/>
          <w:sz w:val="22"/>
          <w:highlight w:val="none"/>
          <w14:textFill>
            <w14:solidFill>
              <w14:schemeClr w14:val="tx1"/>
            </w14:solidFill>
          </w14:textFill>
        </w:rPr>
        <w:t>〔2017〕 141</w:t>
      </w:r>
      <w:r>
        <w:rPr>
          <w:color w:val="000000" w:themeColor="text1"/>
          <w:spacing w:val="6"/>
          <w:sz w:val="22"/>
          <w:highlight w:val="none"/>
          <w14:textFill>
            <w14:solidFill>
              <w14:schemeClr w14:val="tx1"/>
            </w14:solidFill>
          </w14:textFill>
        </w:rPr>
        <w:t>号）的规定，本单位为符合条件的残疾人福利性单位，</w:t>
      </w:r>
      <w:r>
        <w:rPr>
          <w:rFonts w:hint="eastAsia" w:ascii="宋体" w:hAnsi="宋体"/>
          <w:color w:val="000000" w:themeColor="text1"/>
          <w:szCs w:val="21"/>
          <w:highlight w:val="none"/>
          <w14:textFill>
            <w14:solidFill>
              <w14:schemeClr w14:val="tx1"/>
            </w14:solidFill>
          </w14:textFill>
        </w:rPr>
        <w:t>且本单位参加</w:t>
      </w:r>
      <w:r>
        <w:rPr>
          <w:rFonts w:hint="eastAsia" w:ascii="宋体" w:hAnsi="宋体"/>
          <w:b/>
          <w:color w:val="000000" w:themeColor="text1"/>
          <w:szCs w:val="21"/>
          <w:highlight w:val="none"/>
          <w:u w:val="single"/>
          <w14:textFill>
            <w14:solidFill>
              <w14:schemeClr w14:val="tx1"/>
            </w14:solidFill>
          </w14:textFill>
        </w:rPr>
        <w:t xml:space="preserve">   （采购单位名称）</w:t>
      </w:r>
      <w:r>
        <w:rPr>
          <w:rFonts w:ascii="宋体" w:hAnsi="宋体"/>
          <w:b/>
          <w:color w:val="000000" w:themeColor="text1"/>
          <w:szCs w:val="21"/>
          <w:highlight w:val="none"/>
          <w:u w:val="single"/>
          <w14:textFill>
            <w14:solidFill>
              <w14:schemeClr w14:val="tx1"/>
            </w14:solidFill>
          </w14:textFill>
        </w:rPr>
        <w:t>_</w:t>
      </w:r>
      <w:r>
        <w:rPr>
          <w:rFonts w:hint="eastAsia" w:ascii="宋体" w:hAnsi="宋体"/>
          <w:color w:val="000000" w:themeColor="text1"/>
          <w:szCs w:val="21"/>
          <w:highlight w:val="none"/>
          <w14:textFill>
            <w14:solidFill>
              <w14:schemeClr w14:val="tx1"/>
            </w14:solidFill>
          </w14:textFill>
        </w:rPr>
        <w:t>单位的</w:t>
      </w:r>
      <w:r>
        <w:rPr>
          <w:rFonts w:hint="eastAsia" w:ascii="宋体" w:hAnsi="宋体"/>
          <w:b/>
          <w:color w:val="000000" w:themeColor="text1"/>
          <w:szCs w:val="21"/>
          <w:highlight w:val="none"/>
          <w:u w:val="single"/>
          <w14:textFill>
            <w14:solidFill>
              <w14:schemeClr w14:val="tx1"/>
            </w14:solidFill>
          </w14:textFill>
        </w:rPr>
        <w:t>（采购项目名称）</w:t>
      </w:r>
      <w:r>
        <w:rPr>
          <w:rFonts w:hint="eastAsia" w:ascii="宋体" w:hAnsi="宋体"/>
          <w:color w:val="000000" w:themeColor="text1"/>
          <w:szCs w:val="21"/>
          <w:highlight w:val="none"/>
          <w14:textFill>
            <w14:solidFill>
              <w14:schemeClr w14:val="tx1"/>
            </w14:solidFill>
          </w14:textFill>
        </w:rPr>
        <w:t>项目采购活动，并由本单位提供服务</w:t>
      </w:r>
      <w:r>
        <w:rPr>
          <w:color w:val="000000" w:themeColor="text1"/>
          <w:spacing w:val="6"/>
          <w:sz w:val="22"/>
          <w:highlight w:val="none"/>
          <w14:textFill>
            <w14:solidFill>
              <w14:schemeClr w14:val="tx1"/>
            </w14:solidFill>
          </w14:textFill>
        </w:rPr>
        <w:t>。</w:t>
      </w:r>
    </w:p>
    <w:p w14:paraId="3862A82E">
      <w:pPr>
        <w:spacing w:line="360" w:lineRule="exact"/>
        <w:ind w:firstLine="464" w:firstLineChars="200"/>
        <w:jc w:val="left"/>
        <w:rPr>
          <w:color w:val="000000" w:themeColor="text1"/>
          <w:spacing w:val="6"/>
          <w:sz w:val="22"/>
          <w:highlight w:val="none"/>
          <w14:textFill>
            <w14:solidFill>
              <w14:schemeClr w14:val="tx1"/>
            </w14:solidFill>
          </w14:textFill>
        </w:rPr>
      </w:pPr>
      <w:r>
        <w:rPr>
          <w:rFonts w:hint="eastAsia"/>
          <w:color w:val="000000" w:themeColor="text1"/>
          <w:spacing w:val="6"/>
          <w:sz w:val="22"/>
          <w:highlight w:val="none"/>
          <w14:textFill>
            <w14:solidFill>
              <w14:schemeClr w14:val="tx1"/>
            </w14:solidFill>
          </w14:textFill>
        </w:rPr>
        <w:t>本单位对上述声明的真实性负责。如有虚假，将依法承担相应责任。</w:t>
      </w:r>
    </w:p>
    <w:p w14:paraId="4A7E2265">
      <w:pPr>
        <w:spacing w:line="360" w:lineRule="exact"/>
        <w:ind w:firstLine="464" w:firstLineChars="200"/>
        <w:jc w:val="left"/>
        <w:rPr>
          <w:rFonts w:ascii="宋体" w:hAnsi="宋体" w:cs="宋体"/>
          <w:b/>
          <w:color w:val="000000" w:themeColor="text1"/>
          <w:spacing w:val="6"/>
          <w:sz w:val="22"/>
          <w:highlight w:val="none"/>
          <w14:textFill>
            <w14:solidFill>
              <w14:schemeClr w14:val="tx1"/>
            </w14:solidFill>
          </w14:textFill>
        </w:rPr>
      </w:pPr>
      <w:r>
        <w:rPr>
          <w:rFonts w:hint="eastAsia"/>
          <w:color w:val="000000" w:themeColor="text1"/>
          <w:spacing w:val="6"/>
          <w:sz w:val="22"/>
          <w:highlight w:val="none"/>
          <w14:textFill>
            <w14:solidFill>
              <w14:schemeClr w14:val="tx1"/>
            </w14:solidFill>
          </w14:textFill>
        </w:rPr>
        <w:t>本单位知悉《关于促进残疾人就业政府采购政策的通知》(财库(2017141号)的规定,承诺提供的声明函内容是真实的,如提供声明函内容不实,则依法追究相关法律责任。</w:t>
      </w:r>
    </w:p>
    <w:p w14:paraId="41E6EB46">
      <w:pPr>
        <w:spacing w:line="360" w:lineRule="exact"/>
        <w:ind w:firstLine="440" w:firstLineChars="200"/>
        <w:rPr>
          <w:rFonts w:ascii="宋体" w:hAnsi="宋体" w:cs="宋体"/>
          <w:color w:val="000000" w:themeColor="text1"/>
          <w:sz w:val="22"/>
          <w:highlight w:val="none"/>
          <w14:textFill>
            <w14:solidFill>
              <w14:schemeClr w14:val="tx1"/>
            </w14:solidFill>
          </w14:textFill>
        </w:rPr>
      </w:pPr>
    </w:p>
    <w:p w14:paraId="54A42BA9">
      <w:pPr>
        <w:ind w:firstLine="5880" w:firstLineChars="2800"/>
        <w:jc w:val="left"/>
        <w:rPr>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单位名称</w:t>
      </w:r>
      <w:r>
        <w:rPr>
          <w:rFonts w:hint="eastAsia" w:ascii="宋体" w:hAnsi="宋体" w:cs="宋体"/>
          <w:color w:val="000000" w:themeColor="text1"/>
          <w:sz w:val="22"/>
          <w:szCs w:val="22"/>
          <w:highlight w:val="none"/>
          <w14:textFill>
            <w14:solidFill>
              <w14:schemeClr w14:val="tx1"/>
            </w14:solidFill>
          </w14:textFill>
        </w:rPr>
        <w:t>（盖章）</w:t>
      </w:r>
      <w:r>
        <w:rPr>
          <w:rFonts w:hint="eastAsia" w:ascii="宋体" w:hAnsi="宋体"/>
          <w:color w:val="000000" w:themeColor="text1"/>
          <w:highlight w:val="none"/>
          <w14:textFill>
            <w14:solidFill>
              <w14:schemeClr w14:val="tx1"/>
            </w14:solidFill>
          </w14:textFill>
        </w:rPr>
        <w:t>：</w:t>
      </w:r>
    </w:p>
    <w:p w14:paraId="4F25BB80">
      <w:pPr>
        <w:ind w:firstLine="420" w:firstLineChars="200"/>
        <w:jc w:val="center"/>
        <w:rPr>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                                  日期：</w:t>
      </w:r>
    </w:p>
    <w:p w14:paraId="5852FCA4">
      <w:pPr>
        <w:spacing w:line="360" w:lineRule="exact"/>
        <w:rPr>
          <w:rFonts w:ascii="宋体" w:hAnsi="宋体" w:cs="宋体"/>
          <w:b/>
          <w:color w:val="000000" w:themeColor="text1"/>
          <w:spacing w:val="6"/>
          <w:sz w:val="22"/>
          <w:highlight w:val="none"/>
          <w14:textFill>
            <w14:solidFill>
              <w14:schemeClr w14:val="tx1"/>
            </w14:solidFill>
          </w14:textFill>
        </w:rPr>
      </w:pPr>
    </w:p>
    <w:p w14:paraId="6D1E28F0">
      <w:pPr>
        <w:spacing w:line="360" w:lineRule="exact"/>
        <w:jc w:val="center"/>
        <w:rPr>
          <w:rFonts w:ascii="宋体" w:hAnsi="宋体" w:cs="宋体"/>
          <w:b/>
          <w:bCs/>
          <w:color w:val="000000" w:themeColor="text1"/>
          <w:sz w:val="22"/>
          <w:highlight w:val="none"/>
          <w14:textFill>
            <w14:solidFill>
              <w14:schemeClr w14:val="tx1"/>
            </w14:solidFill>
          </w14:textFill>
        </w:rPr>
      </w:pPr>
      <w:r>
        <w:rPr>
          <w:rFonts w:hint="eastAsia" w:ascii="宋体" w:hAnsi="宋体" w:cs="宋体"/>
          <w:b/>
          <w:color w:val="000000" w:themeColor="text1"/>
          <w:spacing w:val="6"/>
          <w:sz w:val="22"/>
          <w:highlight w:val="none"/>
          <w14:textFill>
            <w14:solidFill>
              <w14:schemeClr w14:val="tx1"/>
            </w14:solidFill>
          </w14:textFill>
        </w:rPr>
        <w:t>（三）</w:t>
      </w:r>
      <w:r>
        <w:rPr>
          <w:rFonts w:hint="eastAsia"/>
          <w:b/>
          <w:color w:val="000000" w:themeColor="text1"/>
          <w:sz w:val="24"/>
          <w:highlight w:val="none"/>
          <w14:textFill>
            <w14:solidFill>
              <w14:schemeClr w14:val="tx1"/>
            </w14:solidFill>
          </w14:textFill>
        </w:rPr>
        <w:t>监狱企业声明函（</w:t>
      </w:r>
      <w:r>
        <w:rPr>
          <w:b/>
          <w:color w:val="000000" w:themeColor="text1"/>
          <w:spacing w:val="6"/>
          <w:sz w:val="22"/>
          <w:highlight w:val="none"/>
          <w14:textFill>
            <w14:solidFill>
              <w14:schemeClr w14:val="tx1"/>
            </w14:solidFill>
          </w14:textFill>
        </w:rPr>
        <w:t>省级以上监狱管理局、戒毒管理局(含新疆生产建设兵团)出具的属于监狱企业的证明文件原件的扫描件</w:t>
      </w:r>
      <w:r>
        <w:rPr>
          <w:rFonts w:hint="eastAsia"/>
          <w:b/>
          <w:color w:val="000000" w:themeColor="text1"/>
          <w:sz w:val="24"/>
          <w:highlight w:val="none"/>
          <w14:textFill>
            <w14:solidFill>
              <w14:schemeClr w14:val="tx1"/>
            </w14:solidFill>
          </w14:textFill>
        </w:rPr>
        <w:t>）</w:t>
      </w:r>
    </w:p>
    <w:p w14:paraId="22E56189">
      <w:pPr>
        <w:spacing w:line="360" w:lineRule="exact"/>
        <w:jc w:val="left"/>
        <w:rPr>
          <w:color w:val="000000" w:themeColor="text1"/>
          <w:spacing w:val="6"/>
          <w:sz w:val="22"/>
          <w:highlight w:val="none"/>
          <w14:textFill>
            <w14:solidFill>
              <w14:schemeClr w14:val="tx1"/>
            </w14:solidFill>
          </w14:textFill>
        </w:rPr>
      </w:pPr>
    </w:p>
    <w:p w14:paraId="5D233172">
      <w:pPr>
        <w:spacing w:line="360" w:lineRule="exact"/>
        <w:jc w:val="left"/>
        <w:rPr>
          <w:color w:val="000000" w:themeColor="text1"/>
          <w:spacing w:val="6"/>
          <w:sz w:val="22"/>
          <w:highlight w:val="none"/>
          <w14:textFill>
            <w14:solidFill>
              <w14:schemeClr w14:val="tx1"/>
            </w14:solidFill>
          </w14:textFill>
        </w:rPr>
      </w:pPr>
      <w:r>
        <w:rPr>
          <w:color w:val="000000" w:themeColor="text1"/>
          <w:spacing w:val="6"/>
          <w:sz w:val="22"/>
          <w:highlight w:val="none"/>
          <w14:textFill>
            <w14:solidFill>
              <w14:schemeClr w14:val="tx1"/>
            </w14:solidFill>
          </w14:textFill>
        </w:rPr>
        <w:t>本单位郑重声明，根据《财政部 民政部 中国残疾人联合会关于促进残疾人就业政府采购政策的通知》（财库</w:t>
      </w:r>
      <w:r>
        <w:rPr>
          <w:color w:val="000000" w:themeColor="text1"/>
          <w:sz w:val="22"/>
          <w:highlight w:val="none"/>
          <w14:textFill>
            <w14:solidFill>
              <w14:schemeClr w14:val="tx1"/>
            </w14:solidFill>
          </w14:textFill>
        </w:rPr>
        <w:t>〔2017〕 141</w:t>
      </w:r>
      <w:r>
        <w:rPr>
          <w:color w:val="000000" w:themeColor="text1"/>
          <w:spacing w:val="6"/>
          <w:sz w:val="22"/>
          <w:highlight w:val="none"/>
          <w14:textFill>
            <w14:solidFill>
              <w14:schemeClr w14:val="tx1"/>
            </w14:solidFill>
          </w14:textFill>
        </w:rPr>
        <w:t>号）的规定，本单位为符合条件的残疾人福利性单位，</w:t>
      </w:r>
      <w:r>
        <w:rPr>
          <w:rFonts w:hint="eastAsia" w:ascii="宋体" w:hAnsi="宋体"/>
          <w:color w:val="000000" w:themeColor="text1"/>
          <w:szCs w:val="21"/>
          <w:highlight w:val="none"/>
          <w14:textFill>
            <w14:solidFill>
              <w14:schemeClr w14:val="tx1"/>
            </w14:solidFill>
          </w14:textFill>
        </w:rPr>
        <w:t>且本单位参加</w:t>
      </w:r>
      <w:r>
        <w:rPr>
          <w:rFonts w:hint="eastAsia" w:ascii="宋体" w:hAnsi="宋体"/>
          <w:b/>
          <w:color w:val="000000" w:themeColor="text1"/>
          <w:szCs w:val="21"/>
          <w:highlight w:val="none"/>
          <w:u w:val="single"/>
          <w14:textFill>
            <w14:solidFill>
              <w14:schemeClr w14:val="tx1"/>
            </w14:solidFill>
          </w14:textFill>
        </w:rPr>
        <w:t xml:space="preserve">   （采购单位名称）</w:t>
      </w:r>
      <w:r>
        <w:rPr>
          <w:rFonts w:ascii="宋体" w:hAnsi="宋体"/>
          <w:b/>
          <w:color w:val="000000" w:themeColor="text1"/>
          <w:szCs w:val="21"/>
          <w:highlight w:val="none"/>
          <w:u w:val="single"/>
          <w14:textFill>
            <w14:solidFill>
              <w14:schemeClr w14:val="tx1"/>
            </w14:solidFill>
          </w14:textFill>
        </w:rPr>
        <w:t>_</w:t>
      </w:r>
      <w:r>
        <w:rPr>
          <w:rFonts w:hint="eastAsia" w:ascii="宋体" w:hAnsi="宋体"/>
          <w:color w:val="000000" w:themeColor="text1"/>
          <w:szCs w:val="21"/>
          <w:highlight w:val="none"/>
          <w14:textFill>
            <w14:solidFill>
              <w14:schemeClr w14:val="tx1"/>
            </w14:solidFill>
          </w14:textFill>
        </w:rPr>
        <w:t>单位的</w:t>
      </w:r>
      <w:r>
        <w:rPr>
          <w:rFonts w:hint="eastAsia" w:ascii="宋体" w:hAnsi="宋体"/>
          <w:b/>
          <w:color w:val="000000" w:themeColor="text1"/>
          <w:szCs w:val="21"/>
          <w:highlight w:val="none"/>
          <w:u w:val="single"/>
          <w14:textFill>
            <w14:solidFill>
              <w14:schemeClr w14:val="tx1"/>
            </w14:solidFill>
          </w14:textFill>
        </w:rPr>
        <w:t>（采购项目名称）</w:t>
      </w:r>
      <w:r>
        <w:rPr>
          <w:rFonts w:hint="eastAsia" w:ascii="宋体" w:hAnsi="宋体"/>
          <w:color w:val="000000" w:themeColor="text1"/>
          <w:szCs w:val="21"/>
          <w:highlight w:val="none"/>
          <w14:textFill>
            <w14:solidFill>
              <w14:schemeClr w14:val="tx1"/>
            </w14:solidFill>
          </w14:textFill>
        </w:rPr>
        <w:t>项目采购活动，并由本单位提供服务</w:t>
      </w:r>
      <w:r>
        <w:rPr>
          <w:color w:val="000000" w:themeColor="text1"/>
          <w:spacing w:val="6"/>
          <w:sz w:val="22"/>
          <w:highlight w:val="none"/>
          <w14:textFill>
            <w14:solidFill>
              <w14:schemeClr w14:val="tx1"/>
            </w14:solidFill>
          </w14:textFill>
        </w:rPr>
        <w:t>。</w:t>
      </w:r>
    </w:p>
    <w:p w14:paraId="38BEBC52">
      <w:pPr>
        <w:spacing w:line="360" w:lineRule="exact"/>
        <w:ind w:firstLine="464" w:firstLineChars="200"/>
        <w:jc w:val="left"/>
        <w:rPr>
          <w:color w:val="000000" w:themeColor="text1"/>
          <w:spacing w:val="6"/>
          <w:sz w:val="22"/>
          <w:highlight w:val="none"/>
          <w14:textFill>
            <w14:solidFill>
              <w14:schemeClr w14:val="tx1"/>
            </w14:solidFill>
          </w14:textFill>
        </w:rPr>
      </w:pPr>
      <w:r>
        <w:rPr>
          <w:rFonts w:hint="eastAsia"/>
          <w:color w:val="000000" w:themeColor="text1"/>
          <w:spacing w:val="6"/>
          <w:sz w:val="22"/>
          <w:highlight w:val="none"/>
          <w14:textFill>
            <w14:solidFill>
              <w14:schemeClr w14:val="tx1"/>
            </w14:solidFill>
          </w14:textFill>
        </w:rPr>
        <w:t>本单位对上述声明的真实性负责。如有虚假，将依法承担相应责任。</w:t>
      </w:r>
    </w:p>
    <w:p w14:paraId="030C5549">
      <w:pPr>
        <w:spacing w:line="360" w:lineRule="exact"/>
        <w:ind w:firstLine="464" w:firstLineChars="200"/>
        <w:jc w:val="left"/>
        <w:rPr>
          <w:rFonts w:ascii="宋体" w:hAnsi="宋体" w:cs="宋体"/>
          <w:b/>
          <w:color w:val="000000" w:themeColor="text1"/>
          <w:spacing w:val="6"/>
          <w:sz w:val="22"/>
          <w:highlight w:val="none"/>
          <w14:textFill>
            <w14:solidFill>
              <w14:schemeClr w14:val="tx1"/>
            </w14:solidFill>
          </w14:textFill>
        </w:rPr>
      </w:pPr>
      <w:r>
        <w:rPr>
          <w:rFonts w:hint="eastAsia"/>
          <w:color w:val="000000" w:themeColor="text1"/>
          <w:spacing w:val="6"/>
          <w:sz w:val="22"/>
          <w:highlight w:val="none"/>
          <w14:textFill>
            <w14:solidFill>
              <w14:schemeClr w14:val="tx1"/>
            </w14:solidFill>
          </w14:textFill>
        </w:rPr>
        <w:t>本单位知悉《关于促进残疾人就业政府采购政策的通知》(财库(2017141号)的规定,承诺提供的声明函内容是真实的,如提供声明函内容不实,则依法追究相关法律责任。</w:t>
      </w:r>
    </w:p>
    <w:p w14:paraId="36CEB76A">
      <w:pPr>
        <w:ind w:firstLine="5460" w:firstLineChars="2600"/>
        <w:jc w:val="left"/>
        <w:rPr>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单位名称</w:t>
      </w:r>
      <w:r>
        <w:rPr>
          <w:rFonts w:hint="eastAsia" w:ascii="宋体" w:hAnsi="宋体" w:cs="宋体"/>
          <w:color w:val="000000" w:themeColor="text1"/>
          <w:sz w:val="22"/>
          <w:szCs w:val="22"/>
          <w:highlight w:val="none"/>
          <w14:textFill>
            <w14:solidFill>
              <w14:schemeClr w14:val="tx1"/>
            </w14:solidFill>
          </w14:textFill>
        </w:rPr>
        <w:t>（盖章）</w:t>
      </w:r>
      <w:r>
        <w:rPr>
          <w:rFonts w:hint="eastAsia" w:ascii="宋体" w:hAnsi="宋体"/>
          <w:color w:val="000000" w:themeColor="text1"/>
          <w:highlight w:val="none"/>
          <w14:textFill>
            <w14:solidFill>
              <w14:schemeClr w14:val="tx1"/>
            </w14:solidFill>
          </w14:textFill>
        </w:rPr>
        <w:t>：</w:t>
      </w:r>
    </w:p>
    <w:p w14:paraId="13427E84">
      <w:pPr>
        <w:ind w:firstLine="420" w:firstLineChars="200"/>
        <w:jc w:val="center"/>
        <w:rPr>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                                  日期：</w:t>
      </w:r>
    </w:p>
    <w:p w14:paraId="76E17A43">
      <w:pPr>
        <w:pStyle w:val="22"/>
        <w:rPr>
          <w:rFonts w:ascii="宋体" w:hAnsi="宋体" w:cs="宋体"/>
          <w:color w:val="000000" w:themeColor="text1"/>
          <w:highlight w:val="none"/>
          <w14:textFill>
            <w14:solidFill>
              <w14:schemeClr w14:val="tx1"/>
            </w14:solidFill>
          </w14:textFill>
        </w:rPr>
      </w:pPr>
    </w:p>
    <w:p w14:paraId="60B683D4">
      <w:pPr>
        <w:rPr>
          <w:rFonts w:ascii="宋体" w:hAnsi="宋体" w:cs="宋体"/>
          <w:b/>
          <w:bCs/>
          <w:color w:val="000000" w:themeColor="text1"/>
          <w:sz w:val="32"/>
          <w:szCs w:val="32"/>
          <w:highlight w:val="none"/>
          <w14:textFill>
            <w14:solidFill>
              <w14:schemeClr w14:val="tx1"/>
            </w14:solidFill>
          </w14:textFill>
        </w:rPr>
      </w:pPr>
      <w:r>
        <w:rPr>
          <w:rFonts w:hint="eastAsia" w:ascii="宋体" w:hAnsi="宋体" w:cs="宋体"/>
          <w:b/>
          <w:bCs/>
          <w:color w:val="000000" w:themeColor="text1"/>
          <w:sz w:val="32"/>
          <w:szCs w:val="32"/>
          <w:highlight w:val="none"/>
          <w14:textFill>
            <w14:solidFill>
              <w14:schemeClr w14:val="tx1"/>
            </w14:solidFill>
          </w14:textFill>
        </w:rPr>
        <w:br w:type="page"/>
      </w:r>
    </w:p>
    <w:p w14:paraId="08E957E6">
      <w:pPr>
        <w:numPr>
          <w:ilvl w:val="0"/>
          <w:numId w:val="0"/>
        </w:numPr>
        <w:ind w:left="0" w:leftChars="0" w:firstLine="0" w:firstLineChars="0"/>
        <w:jc w:val="center"/>
        <w:outlineLvl w:val="3"/>
        <w:rPr>
          <w:rFonts w:hint="eastAsia" w:ascii="宋体" w:hAnsi="宋体" w:eastAsia="宋体" w:cs="宋体"/>
          <w:b/>
          <w:bCs/>
          <w:color w:val="auto"/>
          <w:sz w:val="32"/>
          <w:szCs w:val="32"/>
          <w:highlight w:val="none"/>
        </w:rPr>
      </w:pPr>
      <w:r>
        <w:rPr>
          <w:rFonts w:hint="eastAsia" w:ascii="宋体" w:hAnsi="宋体" w:cs="宋体"/>
          <w:b/>
          <w:bCs/>
          <w:color w:val="000000" w:themeColor="text1"/>
          <w:sz w:val="32"/>
          <w:szCs w:val="32"/>
          <w:highlight w:val="none"/>
          <w:lang w:val="en-US" w:eastAsia="zh-CN"/>
          <w14:textFill>
            <w14:solidFill>
              <w14:schemeClr w14:val="tx1"/>
            </w14:solidFill>
          </w14:textFill>
        </w:rPr>
        <w:t>二十八</w:t>
      </w:r>
      <w:r>
        <w:rPr>
          <w:rFonts w:hint="eastAsia" w:ascii="宋体" w:hAnsi="宋体" w:cs="宋体"/>
          <w:b/>
          <w:bCs/>
          <w:color w:val="000000" w:themeColor="text1"/>
          <w:sz w:val="32"/>
          <w:szCs w:val="32"/>
          <w:highlight w:val="none"/>
          <w14:textFill>
            <w14:solidFill>
              <w14:schemeClr w14:val="tx1"/>
            </w14:solidFill>
          </w14:textFill>
        </w:rPr>
        <w:t>、招标文件要求的其他内容及投标人认为需要加以说明的其他内容</w:t>
      </w:r>
    </w:p>
    <w:p w14:paraId="204AD3D8">
      <w:pPr>
        <w:pStyle w:val="7"/>
        <w:rPr>
          <w:rFonts w:hint="eastAsia" w:ascii="宋体" w:hAnsi="宋体" w:eastAsia="宋体" w:cs="宋体"/>
          <w:color w:val="auto"/>
          <w:szCs w:val="22"/>
          <w:highlight w:val="none"/>
        </w:rPr>
      </w:pPr>
      <w:r>
        <w:rPr>
          <w:rFonts w:hint="eastAsia" w:ascii="宋体" w:hAnsi="宋体" w:eastAsia="宋体" w:cs="宋体"/>
          <w:color w:val="auto"/>
          <w:highlight w:val="none"/>
        </w:rPr>
        <w:br w:type="page"/>
      </w:r>
    </w:p>
    <w:p w14:paraId="285F3AEC">
      <w:pPr>
        <w:pStyle w:val="4"/>
        <w:rPr>
          <w:rFonts w:hint="eastAsia" w:ascii="宋体" w:hAnsi="宋体" w:eastAsia="宋体" w:cs="宋体"/>
          <w:color w:val="auto"/>
          <w:sz w:val="36"/>
          <w:szCs w:val="36"/>
          <w:highlight w:val="none"/>
        </w:rPr>
      </w:pPr>
      <w:r>
        <w:rPr>
          <w:rFonts w:hint="eastAsia" w:ascii="宋体" w:hAnsi="宋体" w:eastAsia="宋体" w:cs="宋体"/>
          <w:color w:val="auto"/>
          <w:sz w:val="36"/>
          <w:szCs w:val="36"/>
          <w:highlight w:val="none"/>
        </w:rPr>
        <w:t>第四章  政府采购合同的签订、履约及验收</w:t>
      </w:r>
    </w:p>
    <w:p w14:paraId="0D4C5265">
      <w:pPr>
        <w:jc w:val="both"/>
        <w:rPr>
          <w:rFonts w:hint="eastAsia" w:ascii="宋体" w:hAnsi="宋体" w:eastAsia="宋体" w:cs="宋体"/>
          <w:b/>
          <w:color w:val="auto"/>
          <w:sz w:val="36"/>
          <w:szCs w:val="36"/>
          <w:highlight w:val="none"/>
        </w:rPr>
      </w:pPr>
    </w:p>
    <w:p w14:paraId="20246693">
      <w:pPr>
        <w:jc w:val="center"/>
        <w:rPr>
          <w:rFonts w:hint="eastAsia" w:ascii="宋体" w:hAnsi="宋体" w:eastAsia="宋体" w:cs="宋体"/>
          <w:b/>
          <w:color w:val="auto"/>
          <w:sz w:val="36"/>
          <w:szCs w:val="36"/>
          <w:highlight w:val="none"/>
        </w:rPr>
      </w:pPr>
    </w:p>
    <w:p w14:paraId="1B4321B3">
      <w:pPr>
        <w:jc w:val="center"/>
        <w:rPr>
          <w:rFonts w:hint="eastAsia" w:ascii="宋体" w:hAnsi="宋体" w:eastAsia="宋体" w:cs="宋体"/>
          <w:b/>
          <w:color w:val="auto"/>
          <w:sz w:val="36"/>
          <w:szCs w:val="36"/>
          <w:highlight w:val="none"/>
        </w:rPr>
      </w:pPr>
    </w:p>
    <w:p w14:paraId="5D6C7D8D">
      <w:pPr>
        <w:pStyle w:val="2"/>
        <w:numPr>
          <w:ilvl w:val="0"/>
          <w:numId w:val="10"/>
        </w:numPr>
        <w:rPr>
          <w:rFonts w:hint="eastAsia" w:ascii="宋体" w:hAnsi="宋体" w:eastAsia="宋体" w:cs="宋体"/>
          <w:color w:val="auto"/>
          <w:highlight w:val="none"/>
        </w:rPr>
      </w:pPr>
      <w:r>
        <w:rPr>
          <w:rFonts w:hint="eastAsia" w:ascii="宋体" w:hAnsi="宋体" w:eastAsia="宋体" w:cs="宋体"/>
          <w:b/>
          <w:color w:val="auto"/>
          <w:kern w:val="0"/>
          <w:sz w:val="24"/>
          <w:highlight w:val="none"/>
        </w:rPr>
        <w:t>重要提示</w:t>
      </w:r>
    </w:p>
    <w:p w14:paraId="37EED837">
      <w:pPr>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一）参照《深圳经济特区政府采购条例》规定：供应商在政府采购中，未按本条例规定签订、履行采购合同，造成严重后果的，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涉嫌犯罪的，依法移送司法机关处理。</w:t>
      </w:r>
    </w:p>
    <w:p w14:paraId="26A78041">
      <w:pPr>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二）供应商必须诚信投标，对项目需求进行实质性响应。采购单位（或深圳市东海国际招标有限公司）将组织聘请第三方专业机构（必要时，邀请参加本项目投标的供应商）实施项目履约验收，如未按合同履约，将按上述第（一）条规定进行处理。</w:t>
      </w:r>
    </w:p>
    <w:p w14:paraId="29ABDC08">
      <w:pPr>
        <w:pStyle w:val="2"/>
        <w:numPr>
          <w:ilvl w:val="0"/>
          <w:numId w:val="10"/>
        </w:numPr>
        <w:rPr>
          <w:rFonts w:hint="eastAsia" w:ascii="宋体" w:hAnsi="宋体" w:eastAsia="宋体" w:cs="宋体"/>
          <w:b/>
          <w:color w:val="auto"/>
          <w:kern w:val="0"/>
          <w:sz w:val="24"/>
          <w:highlight w:val="none"/>
        </w:rPr>
      </w:pPr>
      <w:r>
        <w:rPr>
          <w:rFonts w:hint="eastAsia" w:ascii="宋体" w:hAnsi="宋体" w:eastAsia="宋体" w:cs="宋体"/>
          <w:color w:val="auto"/>
          <w:highlight w:val="none"/>
        </w:rPr>
        <w:br w:type="page"/>
      </w:r>
      <w:r>
        <w:rPr>
          <w:rFonts w:hint="eastAsia" w:ascii="宋体" w:hAnsi="宋体" w:eastAsia="宋体" w:cs="宋体"/>
          <w:b/>
          <w:color w:val="auto"/>
          <w:kern w:val="0"/>
          <w:sz w:val="24"/>
          <w:highlight w:val="none"/>
        </w:rPr>
        <w:t>合同条款及格式（仅供参考）</w:t>
      </w:r>
    </w:p>
    <w:p w14:paraId="7D747F7A">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jc w:val="center"/>
        <w:textAlignment w:val="baseline"/>
        <w:rPr>
          <w:rStyle w:val="57"/>
          <w:rFonts w:hint="eastAsia" w:ascii="仿宋" w:hAnsi="仿宋" w:eastAsia="仿宋" w:cs="仿宋"/>
          <w:b w:val="0"/>
          <w:i w:val="0"/>
          <w:caps w:val="0"/>
          <w:spacing w:val="0"/>
          <w:w w:val="100"/>
          <w:kern w:val="2"/>
          <w:sz w:val="28"/>
          <w:szCs w:val="28"/>
          <w:highlight w:val="none"/>
          <w:lang w:val="en-US" w:eastAsia="zh-CN" w:bidi="ar-SA"/>
        </w:rPr>
      </w:pPr>
      <w:r>
        <w:rPr>
          <w:rStyle w:val="57"/>
          <w:rFonts w:hint="default" w:ascii="仿宋" w:hAnsi="仿宋" w:eastAsia="仿宋" w:cs="仿宋"/>
          <w:b w:val="0"/>
          <w:i w:val="0"/>
          <w:caps w:val="0"/>
          <w:spacing w:val="0"/>
          <w:w w:val="100"/>
          <w:kern w:val="2"/>
          <w:sz w:val="28"/>
          <w:szCs w:val="28"/>
          <w:highlight w:val="none"/>
          <w:lang w:val="en-US" w:eastAsia="zh-CN" w:bidi="ar-SA"/>
        </w:rPr>
        <w:t>深圳市宝安区住房和建设事务中心食堂管理服务</w:t>
      </w:r>
      <w:r>
        <w:rPr>
          <w:rStyle w:val="57"/>
          <w:rFonts w:hint="eastAsia" w:ascii="仿宋" w:hAnsi="仿宋" w:eastAsia="仿宋" w:cs="仿宋"/>
          <w:b w:val="0"/>
          <w:i w:val="0"/>
          <w:caps w:val="0"/>
          <w:spacing w:val="0"/>
          <w:w w:val="100"/>
          <w:kern w:val="2"/>
          <w:sz w:val="28"/>
          <w:szCs w:val="28"/>
          <w:highlight w:val="none"/>
          <w:lang w:val="en-US" w:eastAsia="zh-CN" w:bidi="ar-SA"/>
        </w:rPr>
        <w:t>合同文本</w:t>
      </w:r>
    </w:p>
    <w:p w14:paraId="75A4D4C3">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jc w:val="center"/>
        <w:textAlignment w:val="baseline"/>
        <w:rPr>
          <w:rStyle w:val="57"/>
          <w:rFonts w:hint="default" w:ascii="仿宋" w:hAnsi="仿宋" w:eastAsia="仿宋" w:cs="仿宋"/>
          <w:b w:val="0"/>
          <w:i w:val="0"/>
          <w:caps w:val="0"/>
          <w:spacing w:val="0"/>
          <w:w w:val="100"/>
          <w:kern w:val="2"/>
          <w:sz w:val="28"/>
          <w:szCs w:val="28"/>
          <w:highlight w:val="none"/>
          <w:lang w:val="en-US" w:eastAsia="zh-CN" w:bidi="ar-SA"/>
        </w:rPr>
      </w:pPr>
      <w:r>
        <w:rPr>
          <w:rStyle w:val="57"/>
          <w:rFonts w:hint="default" w:ascii="仿宋" w:hAnsi="仿宋" w:eastAsia="仿宋" w:cs="仿宋"/>
          <w:b w:val="0"/>
          <w:i w:val="0"/>
          <w:caps w:val="0"/>
          <w:spacing w:val="0"/>
          <w:w w:val="100"/>
          <w:kern w:val="2"/>
          <w:sz w:val="28"/>
          <w:szCs w:val="28"/>
          <w:highlight w:val="none"/>
          <w:lang w:val="en-US" w:eastAsia="zh-CN" w:bidi="ar-SA"/>
        </w:rPr>
        <w:t>（参考版本）</w:t>
      </w:r>
    </w:p>
    <w:p w14:paraId="5E81D2A7">
      <w:pPr>
        <w:pStyle w:val="10"/>
        <w:rPr>
          <w:rFonts w:hint="eastAsia"/>
          <w:highlight w:val="none"/>
        </w:rPr>
      </w:pPr>
    </w:p>
    <w:p w14:paraId="0B1A0D5C">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eastAsia" w:ascii="仿宋" w:hAnsi="仿宋" w:eastAsia="仿宋" w:cs="仿宋"/>
          <w:b w:val="0"/>
          <w:i w:val="0"/>
          <w:caps w:val="0"/>
          <w:spacing w:val="0"/>
          <w:w w:val="100"/>
          <w:kern w:val="2"/>
          <w:sz w:val="28"/>
          <w:szCs w:val="28"/>
          <w:highlight w:val="none"/>
          <w:lang w:val="en-US" w:eastAsia="zh-CN" w:bidi="ar-SA"/>
        </w:rPr>
      </w:pPr>
      <w:r>
        <w:rPr>
          <w:rStyle w:val="57"/>
          <w:rFonts w:hint="eastAsia" w:ascii="仿宋" w:hAnsi="仿宋" w:eastAsia="仿宋" w:cs="仿宋"/>
          <w:b w:val="0"/>
          <w:i w:val="0"/>
          <w:caps w:val="0"/>
          <w:spacing w:val="0"/>
          <w:w w:val="100"/>
          <w:kern w:val="2"/>
          <w:sz w:val="28"/>
          <w:szCs w:val="28"/>
          <w:highlight w:val="none"/>
          <w:lang w:val="en-US" w:eastAsia="zh-CN" w:bidi="ar-SA"/>
        </w:rPr>
        <w:t>甲方：（以下简称甲方）</w:t>
      </w:r>
    </w:p>
    <w:p w14:paraId="510F4BC2">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eastAsia" w:ascii="仿宋" w:hAnsi="仿宋" w:eastAsia="仿宋" w:cs="仿宋"/>
          <w:b w:val="0"/>
          <w:i w:val="0"/>
          <w:caps w:val="0"/>
          <w:spacing w:val="0"/>
          <w:w w:val="100"/>
          <w:kern w:val="2"/>
          <w:sz w:val="28"/>
          <w:szCs w:val="28"/>
          <w:highlight w:val="none"/>
          <w:lang w:val="en-US" w:eastAsia="zh-CN" w:bidi="ar-SA"/>
        </w:rPr>
      </w:pPr>
      <w:r>
        <w:rPr>
          <w:rStyle w:val="57"/>
          <w:rFonts w:hint="eastAsia" w:ascii="仿宋" w:hAnsi="仿宋" w:eastAsia="仿宋" w:cs="仿宋"/>
          <w:b w:val="0"/>
          <w:i w:val="0"/>
          <w:caps w:val="0"/>
          <w:spacing w:val="0"/>
          <w:w w:val="100"/>
          <w:kern w:val="2"/>
          <w:sz w:val="28"/>
          <w:szCs w:val="28"/>
          <w:highlight w:val="none"/>
          <w:lang w:val="en-US" w:eastAsia="zh-CN" w:bidi="ar-SA"/>
        </w:rPr>
        <w:t>统一信用代码：</w:t>
      </w:r>
    </w:p>
    <w:p w14:paraId="710EA24E">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eastAsia" w:ascii="仿宋" w:hAnsi="仿宋" w:eastAsia="仿宋" w:cs="仿宋"/>
          <w:b w:val="0"/>
          <w:i w:val="0"/>
          <w:caps w:val="0"/>
          <w:spacing w:val="0"/>
          <w:w w:val="100"/>
          <w:kern w:val="2"/>
          <w:sz w:val="28"/>
          <w:szCs w:val="28"/>
          <w:highlight w:val="none"/>
          <w:lang w:val="en-US" w:eastAsia="zh-CN" w:bidi="ar-SA"/>
        </w:rPr>
      </w:pPr>
      <w:r>
        <w:rPr>
          <w:rStyle w:val="57"/>
          <w:rFonts w:hint="eastAsia" w:ascii="仿宋" w:hAnsi="仿宋" w:eastAsia="仿宋" w:cs="仿宋"/>
          <w:b w:val="0"/>
          <w:i w:val="0"/>
          <w:caps w:val="0"/>
          <w:spacing w:val="0"/>
          <w:w w:val="100"/>
          <w:kern w:val="2"/>
          <w:sz w:val="28"/>
          <w:szCs w:val="28"/>
          <w:highlight w:val="none"/>
          <w:lang w:val="en-US" w:eastAsia="zh-CN" w:bidi="ar-SA"/>
        </w:rPr>
        <w:t>法定代表人：</w:t>
      </w:r>
    </w:p>
    <w:p w14:paraId="795E960B">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eastAsia" w:ascii="仿宋" w:hAnsi="仿宋" w:eastAsia="仿宋" w:cs="仿宋"/>
          <w:b w:val="0"/>
          <w:i w:val="0"/>
          <w:caps w:val="0"/>
          <w:spacing w:val="0"/>
          <w:w w:val="100"/>
          <w:kern w:val="2"/>
          <w:sz w:val="28"/>
          <w:szCs w:val="28"/>
          <w:highlight w:val="none"/>
          <w:lang w:val="en-US" w:eastAsia="zh-CN" w:bidi="ar-SA"/>
        </w:rPr>
      </w:pPr>
      <w:r>
        <w:rPr>
          <w:rStyle w:val="57"/>
          <w:rFonts w:hint="eastAsia" w:ascii="仿宋" w:hAnsi="仿宋" w:eastAsia="仿宋" w:cs="仿宋"/>
          <w:b w:val="0"/>
          <w:i w:val="0"/>
          <w:caps w:val="0"/>
          <w:spacing w:val="0"/>
          <w:w w:val="100"/>
          <w:kern w:val="2"/>
          <w:sz w:val="28"/>
          <w:szCs w:val="28"/>
          <w:highlight w:val="none"/>
          <w:lang w:val="en-US" w:eastAsia="zh-CN" w:bidi="ar-SA"/>
        </w:rPr>
        <w:t>地址：</w:t>
      </w:r>
    </w:p>
    <w:p w14:paraId="7EB3F287">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eastAsia" w:ascii="仿宋" w:hAnsi="仿宋" w:eastAsia="仿宋" w:cs="仿宋"/>
          <w:b w:val="0"/>
          <w:i w:val="0"/>
          <w:caps w:val="0"/>
          <w:spacing w:val="0"/>
          <w:w w:val="100"/>
          <w:kern w:val="2"/>
          <w:sz w:val="28"/>
          <w:szCs w:val="28"/>
          <w:highlight w:val="none"/>
          <w:lang w:val="en-US" w:eastAsia="zh-CN" w:bidi="ar-SA"/>
        </w:rPr>
      </w:pPr>
    </w:p>
    <w:p w14:paraId="33C7D35C">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eastAsia" w:ascii="仿宋" w:hAnsi="仿宋" w:eastAsia="仿宋" w:cs="仿宋"/>
          <w:b w:val="0"/>
          <w:i w:val="0"/>
          <w:caps w:val="0"/>
          <w:spacing w:val="0"/>
          <w:w w:val="100"/>
          <w:kern w:val="2"/>
          <w:sz w:val="28"/>
          <w:szCs w:val="28"/>
          <w:highlight w:val="none"/>
          <w:lang w:val="en-US" w:eastAsia="zh-CN" w:bidi="ar-SA"/>
        </w:rPr>
      </w:pPr>
      <w:r>
        <w:rPr>
          <w:rStyle w:val="57"/>
          <w:rFonts w:hint="eastAsia" w:ascii="仿宋" w:hAnsi="仿宋" w:eastAsia="仿宋" w:cs="仿宋"/>
          <w:b w:val="0"/>
          <w:i w:val="0"/>
          <w:caps w:val="0"/>
          <w:spacing w:val="0"/>
          <w:w w:val="100"/>
          <w:kern w:val="2"/>
          <w:sz w:val="28"/>
          <w:szCs w:val="28"/>
          <w:highlight w:val="none"/>
          <w:lang w:val="en-US" w:eastAsia="zh-CN" w:bidi="ar-SA"/>
        </w:rPr>
        <w:t>乙方：（以下简称乙方）</w:t>
      </w:r>
    </w:p>
    <w:p w14:paraId="69E4B8AA">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eastAsia" w:ascii="仿宋" w:hAnsi="仿宋" w:eastAsia="仿宋" w:cs="仿宋"/>
          <w:b w:val="0"/>
          <w:i w:val="0"/>
          <w:caps w:val="0"/>
          <w:spacing w:val="0"/>
          <w:w w:val="100"/>
          <w:kern w:val="2"/>
          <w:sz w:val="28"/>
          <w:szCs w:val="28"/>
          <w:highlight w:val="none"/>
          <w:lang w:val="en-US" w:eastAsia="zh-CN" w:bidi="ar-SA"/>
        </w:rPr>
      </w:pPr>
      <w:r>
        <w:rPr>
          <w:rStyle w:val="57"/>
          <w:rFonts w:hint="eastAsia" w:ascii="仿宋" w:hAnsi="仿宋" w:eastAsia="仿宋" w:cs="仿宋"/>
          <w:b w:val="0"/>
          <w:i w:val="0"/>
          <w:caps w:val="0"/>
          <w:spacing w:val="0"/>
          <w:w w:val="100"/>
          <w:kern w:val="2"/>
          <w:sz w:val="28"/>
          <w:szCs w:val="28"/>
          <w:highlight w:val="none"/>
          <w:lang w:val="en-US" w:eastAsia="zh-CN" w:bidi="ar-SA"/>
        </w:rPr>
        <w:t>统一信用代码：</w:t>
      </w:r>
    </w:p>
    <w:p w14:paraId="21173028">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eastAsia" w:ascii="仿宋" w:hAnsi="仿宋" w:eastAsia="仿宋" w:cs="仿宋"/>
          <w:b w:val="0"/>
          <w:i w:val="0"/>
          <w:caps w:val="0"/>
          <w:spacing w:val="0"/>
          <w:w w:val="100"/>
          <w:kern w:val="2"/>
          <w:sz w:val="28"/>
          <w:szCs w:val="28"/>
          <w:highlight w:val="none"/>
          <w:lang w:val="en-US" w:eastAsia="zh-CN" w:bidi="ar-SA"/>
        </w:rPr>
      </w:pPr>
      <w:r>
        <w:rPr>
          <w:rStyle w:val="57"/>
          <w:rFonts w:hint="eastAsia" w:ascii="仿宋" w:hAnsi="仿宋" w:eastAsia="仿宋" w:cs="仿宋"/>
          <w:b w:val="0"/>
          <w:i w:val="0"/>
          <w:caps w:val="0"/>
          <w:spacing w:val="0"/>
          <w:w w:val="100"/>
          <w:kern w:val="2"/>
          <w:sz w:val="28"/>
          <w:szCs w:val="28"/>
          <w:highlight w:val="none"/>
          <w:lang w:val="en-US" w:eastAsia="zh-CN" w:bidi="ar-SA"/>
        </w:rPr>
        <w:t>法定代表人：</w:t>
      </w:r>
    </w:p>
    <w:p w14:paraId="4A90E228">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eastAsia" w:ascii="仿宋" w:hAnsi="仿宋" w:eastAsia="仿宋" w:cs="仿宋"/>
          <w:b w:val="0"/>
          <w:i w:val="0"/>
          <w:caps w:val="0"/>
          <w:spacing w:val="0"/>
          <w:w w:val="100"/>
          <w:kern w:val="2"/>
          <w:sz w:val="28"/>
          <w:szCs w:val="28"/>
          <w:highlight w:val="none"/>
          <w:lang w:val="en-US" w:eastAsia="zh-CN" w:bidi="ar-SA"/>
        </w:rPr>
      </w:pPr>
      <w:r>
        <w:rPr>
          <w:rStyle w:val="57"/>
          <w:rFonts w:hint="eastAsia" w:ascii="仿宋" w:hAnsi="仿宋" w:eastAsia="仿宋" w:cs="仿宋"/>
          <w:b w:val="0"/>
          <w:i w:val="0"/>
          <w:caps w:val="0"/>
          <w:spacing w:val="0"/>
          <w:w w:val="100"/>
          <w:kern w:val="2"/>
          <w:sz w:val="28"/>
          <w:szCs w:val="28"/>
          <w:highlight w:val="none"/>
          <w:lang w:val="en-US" w:eastAsia="zh-CN" w:bidi="ar-SA"/>
        </w:rPr>
        <w:t>地址：</w:t>
      </w:r>
    </w:p>
    <w:p w14:paraId="4F20690C">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eastAsia" w:ascii="仿宋" w:hAnsi="仿宋" w:eastAsia="仿宋" w:cs="仿宋"/>
          <w:b w:val="0"/>
          <w:i w:val="0"/>
          <w:caps w:val="0"/>
          <w:spacing w:val="0"/>
          <w:w w:val="100"/>
          <w:kern w:val="2"/>
          <w:sz w:val="28"/>
          <w:szCs w:val="28"/>
          <w:highlight w:val="none"/>
          <w:lang w:val="en-US" w:eastAsia="zh-CN" w:bidi="ar-SA"/>
        </w:rPr>
      </w:pPr>
    </w:p>
    <w:p w14:paraId="6D8B3601">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eastAsia" w:ascii="仿宋" w:hAnsi="仿宋" w:eastAsia="仿宋" w:cs="仿宋"/>
          <w:b w:val="0"/>
          <w:i w:val="0"/>
          <w:caps w:val="0"/>
          <w:spacing w:val="0"/>
          <w:w w:val="100"/>
          <w:kern w:val="2"/>
          <w:sz w:val="28"/>
          <w:szCs w:val="28"/>
          <w:highlight w:val="none"/>
          <w:lang w:val="en-US" w:eastAsia="zh-CN" w:bidi="ar-SA"/>
        </w:rPr>
      </w:pPr>
      <w:r>
        <w:rPr>
          <w:rStyle w:val="57"/>
          <w:rFonts w:hint="eastAsia" w:ascii="仿宋" w:hAnsi="仿宋" w:eastAsia="仿宋" w:cs="仿宋"/>
          <w:b w:val="0"/>
          <w:i w:val="0"/>
          <w:caps w:val="0"/>
          <w:spacing w:val="0"/>
          <w:w w:val="100"/>
          <w:kern w:val="2"/>
          <w:sz w:val="28"/>
          <w:szCs w:val="28"/>
          <w:highlight w:val="none"/>
          <w:lang w:val="en-US" w:eastAsia="zh-CN" w:bidi="ar-SA"/>
        </w:rPr>
        <w:t>按照《中华人民共和国民法典》</w:t>
      </w:r>
      <w:r>
        <w:rPr>
          <w:rStyle w:val="57"/>
          <w:rFonts w:hint="default" w:ascii="仿宋" w:hAnsi="仿宋" w:eastAsia="仿宋" w:cs="仿宋"/>
          <w:b w:val="0"/>
          <w:i w:val="0"/>
          <w:caps w:val="0"/>
          <w:spacing w:val="0"/>
          <w:w w:val="100"/>
          <w:kern w:val="2"/>
          <w:sz w:val="28"/>
          <w:szCs w:val="28"/>
          <w:highlight w:val="none"/>
          <w:lang w:eastAsia="zh-CN" w:bidi="ar-SA"/>
        </w:rPr>
        <w:t>、</w:t>
      </w:r>
      <w:r>
        <w:rPr>
          <w:rStyle w:val="57"/>
          <w:rFonts w:hint="eastAsia" w:ascii="仿宋" w:hAnsi="仿宋" w:eastAsia="仿宋" w:cs="仿宋"/>
          <w:b w:val="0"/>
          <w:i w:val="0"/>
          <w:caps w:val="0"/>
          <w:spacing w:val="0"/>
          <w:w w:val="100"/>
          <w:kern w:val="2"/>
          <w:sz w:val="28"/>
          <w:szCs w:val="28"/>
          <w:highlight w:val="none"/>
          <w:lang w:val="en-US" w:eastAsia="zh-CN" w:bidi="ar-SA"/>
        </w:rPr>
        <w:t>《中华人民共和国食品安全法》</w:t>
      </w:r>
      <w:r>
        <w:rPr>
          <w:rStyle w:val="57"/>
          <w:rFonts w:hint="default" w:ascii="仿宋" w:hAnsi="仿宋" w:eastAsia="仿宋" w:cs="仿宋"/>
          <w:b w:val="0"/>
          <w:i w:val="0"/>
          <w:caps w:val="0"/>
          <w:spacing w:val="0"/>
          <w:w w:val="100"/>
          <w:kern w:val="2"/>
          <w:sz w:val="28"/>
          <w:szCs w:val="28"/>
          <w:highlight w:val="none"/>
          <w:lang w:eastAsia="zh-CN" w:bidi="ar-SA"/>
        </w:rPr>
        <w:t>以及</w:t>
      </w:r>
      <w:r>
        <w:rPr>
          <w:rStyle w:val="57"/>
          <w:rFonts w:hint="eastAsia" w:ascii="仿宋" w:hAnsi="仿宋" w:eastAsia="仿宋" w:cs="仿宋"/>
          <w:b w:val="0"/>
          <w:i w:val="0"/>
          <w:caps w:val="0"/>
          <w:spacing w:val="0"/>
          <w:w w:val="100"/>
          <w:kern w:val="2"/>
          <w:sz w:val="28"/>
          <w:szCs w:val="28"/>
          <w:highlight w:val="none"/>
          <w:lang w:val="en-US" w:eastAsia="zh-CN" w:bidi="ar-SA"/>
        </w:rPr>
        <w:t>《深圳经济特区政府采购条例》，甲、乙双方本着诚实守信、平等互利的原则</w:t>
      </w:r>
      <w:r>
        <w:rPr>
          <w:rStyle w:val="57"/>
          <w:rFonts w:hint="default" w:ascii="仿宋" w:hAnsi="仿宋" w:eastAsia="仿宋" w:cs="仿宋"/>
          <w:b w:val="0"/>
          <w:i w:val="0"/>
          <w:caps w:val="0"/>
          <w:spacing w:val="0"/>
          <w:w w:val="100"/>
          <w:kern w:val="2"/>
          <w:sz w:val="28"/>
          <w:szCs w:val="28"/>
          <w:highlight w:val="none"/>
          <w:lang w:val="en-US" w:eastAsia="zh-CN" w:bidi="ar-SA"/>
        </w:rPr>
        <w:t>，</w:t>
      </w:r>
      <w:r>
        <w:rPr>
          <w:rStyle w:val="57"/>
          <w:rFonts w:hint="eastAsia" w:ascii="仿宋" w:hAnsi="仿宋" w:eastAsia="仿宋" w:cs="仿宋"/>
          <w:b w:val="0"/>
          <w:i w:val="0"/>
          <w:caps w:val="0"/>
          <w:spacing w:val="0"/>
          <w:w w:val="100"/>
          <w:kern w:val="2"/>
          <w:sz w:val="28"/>
          <w:szCs w:val="28"/>
          <w:highlight w:val="none"/>
          <w:lang w:val="en-US" w:eastAsia="zh-CN" w:bidi="ar-SA"/>
        </w:rPr>
        <w:t>经友好协商，就甲方委托乙方承担食堂管理服务事宜达成一致意见，</w:t>
      </w:r>
      <w:r>
        <w:rPr>
          <w:rStyle w:val="57"/>
          <w:rFonts w:hint="default" w:ascii="仿宋" w:hAnsi="仿宋" w:eastAsia="仿宋" w:cs="仿宋"/>
          <w:b w:val="0"/>
          <w:i w:val="0"/>
          <w:caps w:val="0"/>
          <w:spacing w:val="0"/>
          <w:w w:val="100"/>
          <w:kern w:val="2"/>
          <w:sz w:val="28"/>
          <w:szCs w:val="28"/>
          <w:highlight w:val="none"/>
          <w:lang w:eastAsia="zh-CN" w:bidi="ar-SA"/>
        </w:rPr>
        <w:t>特签订本合同</w:t>
      </w:r>
      <w:r>
        <w:rPr>
          <w:rStyle w:val="57"/>
          <w:rFonts w:hint="eastAsia" w:ascii="仿宋" w:hAnsi="仿宋" w:eastAsia="仿宋" w:cs="仿宋"/>
          <w:b w:val="0"/>
          <w:i w:val="0"/>
          <w:caps w:val="0"/>
          <w:spacing w:val="0"/>
          <w:w w:val="100"/>
          <w:kern w:val="2"/>
          <w:sz w:val="28"/>
          <w:szCs w:val="28"/>
          <w:highlight w:val="none"/>
          <w:lang w:val="en-US" w:eastAsia="zh-CN" w:bidi="ar-SA"/>
        </w:rPr>
        <w:t>。</w:t>
      </w:r>
    </w:p>
    <w:p w14:paraId="76736F87">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2" w:firstLineChars="200"/>
        <w:jc w:val="left"/>
        <w:textAlignment w:val="baseline"/>
        <w:rPr>
          <w:rStyle w:val="57"/>
          <w:rFonts w:hint="eastAsia" w:ascii="仿宋" w:hAnsi="仿宋" w:eastAsia="仿宋" w:cs="仿宋"/>
          <w:b/>
          <w:bCs/>
          <w:i w:val="0"/>
          <w:caps w:val="0"/>
          <w:spacing w:val="0"/>
          <w:w w:val="100"/>
          <w:kern w:val="2"/>
          <w:sz w:val="28"/>
          <w:szCs w:val="28"/>
          <w:highlight w:val="none"/>
          <w:lang w:val="en-US" w:eastAsia="zh-CN" w:bidi="ar-SA"/>
        </w:rPr>
      </w:pPr>
      <w:r>
        <w:rPr>
          <w:rStyle w:val="57"/>
          <w:rFonts w:hint="eastAsia" w:ascii="仿宋" w:hAnsi="仿宋" w:eastAsia="仿宋" w:cs="仿宋"/>
          <w:b/>
          <w:bCs/>
          <w:i w:val="0"/>
          <w:caps w:val="0"/>
          <w:spacing w:val="0"/>
          <w:w w:val="100"/>
          <w:kern w:val="2"/>
          <w:sz w:val="28"/>
          <w:szCs w:val="28"/>
          <w:highlight w:val="none"/>
          <w:lang w:val="en-US" w:eastAsia="zh-CN" w:bidi="ar-SA"/>
        </w:rPr>
        <w:t>第一条 服务内容</w:t>
      </w:r>
    </w:p>
    <w:p w14:paraId="6C141E53">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eastAsia" w:ascii="仿宋" w:hAnsi="仿宋" w:eastAsia="仿宋" w:cs="仿宋"/>
          <w:b w:val="0"/>
          <w:i w:val="0"/>
          <w:caps w:val="0"/>
          <w:spacing w:val="0"/>
          <w:w w:val="100"/>
          <w:kern w:val="2"/>
          <w:sz w:val="28"/>
          <w:szCs w:val="28"/>
          <w:highlight w:val="none"/>
          <w:lang w:val="en-US" w:eastAsia="zh-CN" w:bidi="ar-SA"/>
        </w:rPr>
      </w:pPr>
      <w:r>
        <w:rPr>
          <w:rStyle w:val="57"/>
          <w:rFonts w:hint="default" w:ascii="仿宋" w:hAnsi="仿宋" w:eastAsia="仿宋" w:cs="仿宋"/>
          <w:b w:val="0"/>
          <w:i w:val="0"/>
          <w:caps w:val="0"/>
          <w:spacing w:val="0"/>
          <w:w w:val="100"/>
          <w:kern w:val="2"/>
          <w:sz w:val="28"/>
          <w:szCs w:val="28"/>
          <w:highlight w:val="none"/>
          <w:lang w:val="en-US" w:eastAsia="zh-CN" w:bidi="ar-SA"/>
        </w:rPr>
        <w:t>深圳市宝安区住房和建设事务中心</w:t>
      </w:r>
      <w:r>
        <w:rPr>
          <w:rStyle w:val="57"/>
          <w:rFonts w:hint="eastAsia" w:ascii="仿宋" w:hAnsi="仿宋" w:eastAsia="仿宋" w:cs="仿宋"/>
          <w:b w:val="0"/>
          <w:i w:val="0"/>
          <w:caps w:val="0"/>
          <w:spacing w:val="0"/>
          <w:w w:val="100"/>
          <w:kern w:val="2"/>
          <w:sz w:val="28"/>
          <w:szCs w:val="28"/>
          <w:highlight w:val="none"/>
          <w:lang w:val="en-US" w:eastAsia="zh-CN" w:bidi="ar-SA"/>
        </w:rPr>
        <w:t>食堂管理</w:t>
      </w:r>
      <w:r>
        <w:rPr>
          <w:rStyle w:val="57"/>
          <w:rFonts w:hint="default" w:ascii="仿宋" w:hAnsi="仿宋" w:eastAsia="仿宋" w:cs="仿宋"/>
          <w:b w:val="0"/>
          <w:i w:val="0"/>
          <w:caps w:val="0"/>
          <w:spacing w:val="0"/>
          <w:w w:val="100"/>
          <w:kern w:val="2"/>
          <w:sz w:val="28"/>
          <w:szCs w:val="28"/>
          <w:highlight w:val="none"/>
          <w:lang w:eastAsia="zh-CN" w:bidi="ar-SA"/>
        </w:rPr>
        <w:t>服务</w:t>
      </w:r>
      <w:r>
        <w:rPr>
          <w:rStyle w:val="57"/>
          <w:rFonts w:hint="eastAsia" w:ascii="仿宋" w:hAnsi="仿宋" w:eastAsia="仿宋" w:cs="仿宋"/>
          <w:b w:val="0"/>
          <w:i w:val="0"/>
          <w:caps w:val="0"/>
          <w:spacing w:val="0"/>
          <w:w w:val="100"/>
          <w:kern w:val="2"/>
          <w:sz w:val="28"/>
          <w:szCs w:val="28"/>
          <w:highlight w:val="none"/>
          <w:lang w:val="en-US" w:eastAsia="zh-CN" w:bidi="ar-SA"/>
        </w:rPr>
        <w:t>，</w:t>
      </w:r>
      <w:r>
        <w:rPr>
          <w:rStyle w:val="57"/>
          <w:rFonts w:hint="default" w:ascii="仿宋" w:hAnsi="仿宋" w:eastAsia="仿宋" w:cs="仿宋"/>
          <w:b w:val="0"/>
          <w:i w:val="0"/>
          <w:caps w:val="0"/>
          <w:spacing w:val="0"/>
          <w:w w:val="100"/>
          <w:kern w:val="2"/>
          <w:sz w:val="28"/>
          <w:szCs w:val="28"/>
          <w:highlight w:val="none"/>
          <w:lang w:eastAsia="zh-CN" w:bidi="ar-SA"/>
        </w:rPr>
        <w:t>约250</w:t>
      </w:r>
      <w:r>
        <w:rPr>
          <w:rStyle w:val="57"/>
          <w:rFonts w:hint="default" w:ascii="仿宋" w:hAnsi="仿宋" w:eastAsia="仿宋" w:cs="仿宋"/>
          <w:b w:val="0"/>
          <w:i w:val="0"/>
          <w:caps w:val="0"/>
          <w:spacing w:val="0"/>
          <w:w w:val="100"/>
          <w:kern w:val="2"/>
          <w:sz w:val="28"/>
          <w:szCs w:val="28"/>
          <w:highlight w:val="none"/>
          <w:lang w:val="en-US" w:eastAsia="zh-CN" w:bidi="ar-SA"/>
        </w:rPr>
        <w:t>人</w:t>
      </w:r>
      <w:r>
        <w:rPr>
          <w:rStyle w:val="57"/>
          <w:rFonts w:hint="default" w:ascii="仿宋" w:hAnsi="仿宋" w:eastAsia="仿宋" w:cs="仿宋"/>
          <w:b w:val="0"/>
          <w:i w:val="0"/>
          <w:caps w:val="0"/>
          <w:spacing w:val="0"/>
          <w:w w:val="100"/>
          <w:kern w:val="2"/>
          <w:sz w:val="28"/>
          <w:szCs w:val="28"/>
          <w:highlight w:val="none"/>
          <w:lang w:eastAsia="zh-CN" w:bidi="ar-SA"/>
        </w:rPr>
        <w:t>用</w:t>
      </w:r>
      <w:r>
        <w:rPr>
          <w:rStyle w:val="57"/>
          <w:rFonts w:hint="eastAsia" w:ascii="仿宋" w:hAnsi="仿宋" w:eastAsia="仿宋" w:cs="仿宋"/>
          <w:b w:val="0"/>
          <w:i w:val="0"/>
          <w:caps w:val="0"/>
          <w:spacing w:val="0"/>
          <w:w w:val="100"/>
          <w:kern w:val="2"/>
          <w:sz w:val="28"/>
          <w:szCs w:val="28"/>
          <w:highlight w:val="none"/>
          <w:lang w:val="en-US" w:eastAsia="zh-CN" w:bidi="ar-SA"/>
        </w:rPr>
        <w:t>餐，乙方按甲方要求提供每周工作日早中晚用餐。</w:t>
      </w:r>
    </w:p>
    <w:p w14:paraId="55901287">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2" w:firstLineChars="200"/>
        <w:jc w:val="left"/>
        <w:textAlignment w:val="baseline"/>
        <w:rPr>
          <w:rStyle w:val="57"/>
          <w:rFonts w:hint="eastAsia" w:ascii="仿宋" w:hAnsi="仿宋" w:eastAsia="仿宋" w:cs="仿宋"/>
          <w:b/>
          <w:bCs/>
          <w:i w:val="0"/>
          <w:caps w:val="0"/>
          <w:spacing w:val="0"/>
          <w:w w:val="100"/>
          <w:kern w:val="2"/>
          <w:sz w:val="28"/>
          <w:szCs w:val="28"/>
          <w:highlight w:val="none"/>
          <w:lang w:val="en-US" w:eastAsia="zh-CN" w:bidi="ar-SA"/>
        </w:rPr>
      </w:pPr>
      <w:r>
        <w:rPr>
          <w:rStyle w:val="57"/>
          <w:rFonts w:hint="eastAsia" w:ascii="仿宋" w:hAnsi="仿宋" w:eastAsia="仿宋" w:cs="仿宋"/>
          <w:b/>
          <w:bCs/>
          <w:i w:val="0"/>
          <w:caps w:val="0"/>
          <w:spacing w:val="0"/>
          <w:w w:val="100"/>
          <w:kern w:val="2"/>
          <w:sz w:val="28"/>
          <w:szCs w:val="28"/>
          <w:highlight w:val="none"/>
          <w:lang w:val="en-US" w:eastAsia="zh-CN" w:bidi="ar-SA"/>
        </w:rPr>
        <w:t>第二条 服务年限</w:t>
      </w:r>
    </w:p>
    <w:p w14:paraId="752F1993">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default" w:ascii="仿宋" w:hAnsi="仿宋" w:eastAsia="仿宋" w:cs="仿宋"/>
          <w:b w:val="0"/>
          <w:i w:val="0"/>
          <w:caps w:val="0"/>
          <w:spacing w:val="0"/>
          <w:w w:val="100"/>
          <w:kern w:val="2"/>
          <w:sz w:val="28"/>
          <w:szCs w:val="28"/>
          <w:highlight w:val="none"/>
          <w:lang w:eastAsia="zh-CN" w:bidi="ar-SA"/>
        </w:rPr>
      </w:pPr>
      <w:r>
        <w:rPr>
          <w:rStyle w:val="57"/>
          <w:rFonts w:hint="eastAsia" w:ascii="仿宋" w:hAnsi="仿宋" w:eastAsia="仿宋" w:cs="仿宋"/>
          <w:b w:val="0"/>
          <w:i w:val="0"/>
          <w:caps w:val="0"/>
          <w:spacing w:val="0"/>
          <w:w w:val="100"/>
          <w:kern w:val="2"/>
          <w:sz w:val="28"/>
          <w:szCs w:val="28"/>
          <w:highlight w:val="none"/>
          <w:lang w:val="en-US" w:eastAsia="zh-CN" w:bidi="ar-SA"/>
        </w:rPr>
        <w:t>服务年限一年，合同履行期限从 202</w:t>
      </w:r>
      <w:r>
        <w:rPr>
          <w:rStyle w:val="57"/>
          <w:rFonts w:hint="default" w:ascii="仿宋" w:hAnsi="仿宋" w:eastAsia="仿宋" w:cs="仿宋"/>
          <w:b w:val="0"/>
          <w:i w:val="0"/>
          <w:caps w:val="0"/>
          <w:spacing w:val="0"/>
          <w:w w:val="100"/>
          <w:kern w:val="2"/>
          <w:sz w:val="28"/>
          <w:szCs w:val="28"/>
          <w:highlight w:val="none"/>
          <w:lang w:val="en-US" w:eastAsia="zh-CN" w:bidi="ar-SA"/>
        </w:rPr>
        <w:t>5</w:t>
      </w:r>
      <w:r>
        <w:rPr>
          <w:rStyle w:val="57"/>
          <w:rFonts w:hint="eastAsia" w:ascii="仿宋" w:hAnsi="仿宋" w:eastAsia="仿宋" w:cs="仿宋"/>
          <w:b w:val="0"/>
          <w:i w:val="0"/>
          <w:caps w:val="0"/>
          <w:spacing w:val="0"/>
          <w:w w:val="100"/>
          <w:kern w:val="2"/>
          <w:sz w:val="28"/>
          <w:szCs w:val="28"/>
          <w:highlight w:val="none"/>
          <w:lang w:val="en-US" w:eastAsia="zh-CN" w:bidi="ar-SA"/>
        </w:rPr>
        <w:t xml:space="preserve"> 年 月 日开始起，至 202</w:t>
      </w:r>
      <w:r>
        <w:rPr>
          <w:rStyle w:val="57"/>
          <w:rFonts w:hint="default" w:ascii="仿宋" w:hAnsi="仿宋" w:eastAsia="仿宋" w:cs="仿宋"/>
          <w:b w:val="0"/>
          <w:i w:val="0"/>
          <w:caps w:val="0"/>
          <w:spacing w:val="0"/>
          <w:w w:val="100"/>
          <w:kern w:val="2"/>
          <w:sz w:val="28"/>
          <w:szCs w:val="28"/>
          <w:highlight w:val="none"/>
          <w:lang w:val="en-US" w:eastAsia="zh-CN" w:bidi="ar-SA"/>
        </w:rPr>
        <w:t>6</w:t>
      </w:r>
      <w:r>
        <w:rPr>
          <w:rStyle w:val="57"/>
          <w:rFonts w:hint="eastAsia" w:ascii="仿宋" w:hAnsi="仿宋" w:eastAsia="仿宋" w:cs="仿宋"/>
          <w:b w:val="0"/>
          <w:i w:val="0"/>
          <w:caps w:val="0"/>
          <w:spacing w:val="0"/>
          <w:w w:val="100"/>
          <w:kern w:val="2"/>
          <w:sz w:val="28"/>
          <w:szCs w:val="28"/>
          <w:highlight w:val="none"/>
          <w:lang w:val="en-US" w:eastAsia="zh-CN" w:bidi="ar-SA"/>
        </w:rPr>
        <w:t xml:space="preserve"> 年 月</w:t>
      </w:r>
      <w:r>
        <w:rPr>
          <w:rStyle w:val="57"/>
          <w:rFonts w:hint="default" w:ascii="仿宋" w:hAnsi="仿宋" w:eastAsia="仿宋" w:cs="仿宋"/>
          <w:b w:val="0"/>
          <w:i w:val="0"/>
          <w:caps w:val="0"/>
          <w:spacing w:val="0"/>
          <w:w w:val="100"/>
          <w:kern w:val="2"/>
          <w:sz w:val="28"/>
          <w:szCs w:val="28"/>
          <w:highlight w:val="none"/>
          <w:lang w:val="en-US" w:eastAsia="zh-CN" w:bidi="ar-SA"/>
        </w:rPr>
        <w:t xml:space="preserve"> </w:t>
      </w:r>
      <w:r>
        <w:rPr>
          <w:rStyle w:val="57"/>
          <w:rFonts w:hint="eastAsia" w:ascii="仿宋" w:hAnsi="仿宋" w:eastAsia="仿宋" w:cs="仿宋"/>
          <w:b w:val="0"/>
          <w:i w:val="0"/>
          <w:caps w:val="0"/>
          <w:spacing w:val="0"/>
          <w:w w:val="100"/>
          <w:kern w:val="2"/>
          <w:sz w:val="28"/>
          <w:szCs w:val="28"/>
          <w:highlight w:val="none"/>
          <w:lang w:val="en-US" w:eastAsia="zh-CN" w:bidi="ar-SA"/>
        </w:rPr>
        <w:t>日止</w:t>
      </w:r>
      <w:r>
        <w:rPr>
          <w:rStyle w:val="57"/>
          <w:rFonts w:hint="default" w:ascii="仿宋" w:hAnsi="仿宋" w:eastAsia="仿宋" w:cs="仿宋"/>
          <w:b w:val="0"/>
          <w:i w:val="0"/>
          <w:caps w:val="0"/>
          <w:spacing w:val="0"/>
          <w:w w:val="100"/>
          <w:kern w:val="2"/>
          <w:sz w:val="28"/>
          <w:szCs w:val="28"/>
          <w:highlight w:val="none"/>
          <w:lang w:eastAsia="zh-CN" w:bidi="ar-SA"/>
        </w:rPr>
        <w:t>。</w:t>
      </w:r>
    </w:p>
    <w:p w14:paraId="26B4489A">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eastAsia" w:ascii="仿宋" w:hAnsi="仿宋" w:eastAsia="仿宋" w:cs="仿宋"/>
          <w:b w:val="0"/>
          <w:i w:val="0"/>
          <w:caps w:val="0"/>
          <w:spacing w:val="0"/>
          <w:w w:val="100"/>
          <w:kern w:val="2"/>
          <w:sz w:val="28"/>
          <w:szCs w:val="28"/>
          <w:highlight w:val="none"/>
          <w:lang w:val="en-US" w:eastAsia="zh-CN" w:bidi="ar-SA"/>
        </w:rPr>
      </w:pPr>
      <w:r>
        <w:rPr>
          <w:rStyle w:val="57"/>
          <w:rFonts w:hint="eastAsia" w:ascii="仿宋" w:hAnsi="仿宋" w:eastAsia="仿宋" w:cs="仿宋"/>
          <w:b w:val="0"/>
          <w:i w:val="0"/>
          <w:caps w:val="0"/>
          <w:spacing w:val="0"/>
          <w:w w:val="100"/>
          <w:kern w:val="2"/>
          <w:sz w:val="28"/>
          <w:szCs w:val="28"/>
          <w:highlight w:val="none"/>
          <w:lang w:val="en-US" w:eastAsia="zh-CN" w:bidi="ar-SA"/>
        </w:rPr>
        <w:t>若乙方提供的服务和饭菜质量能达到甲方的要求，服务期满后，经过履约评价</w:t>
      </w:r>
      <w:r>
        <w:rPr>
          <w:rStyle w:val="57"/>
          <w:rFonts w:hint="default" w:ascii="仿宋" w:hAnsi="仿宋" w:eastAsia="仿宋" w:cs="仿宋"/>
          <w:b w:val="0"/>
          <w:i w:val="0"/>
          <w:caps w:val="0"/>
          <w:spacing w:val="0"/>
          <w:w w:val="100"/>
          <w:kern w:val="2"/>
          <w:sz w:val="28"/>
          <w:szCs w:val="28"/>
          <w:highlight w:val="none"/>
          <w:lang w:eastAsia="zh-CN" w:bidi="ar-SA"/>
        </w:rPr>
        <w:t>年度考核</w:t>
      </w:r>
      <w:r>
        <w:rPr>
          <w:rStyle w:val="57"/>
          <w:rFonts w:hint="eastAsia" w:ascii="仿宋" w:hAnsi="仿宋" w:eastAsia="仿宋" w:cs="仿宋"/>
          <w:b w:val="0"/>
          <w:i w:val="0"/>
          <w:caps w:val="0"/>
          <w:spacing w:val="0"/>
          <w:w w:val="100"/>
          <w:kern w:val="2"/>
          <w:sz w:val="28"/>
          <w:szCs w:val="28"/>
          <w:highlight w:val="none"/>
          <w:lang w:val="en-US" w:eastAsia="zh-CN" w:bidi="ar-SA"/>
        </w:rPr>
        <w:t>为</w:t>
      </w:r>
      <w:r>
        <w:rPr>
          <w:rStyle w:val="57"/>
          <w:rFonts w:hint="default" w:ascii="仿宋" w:hAnsi="仿宋" w:eastAsia="仿宋" w:cs="仿宋"/>
          <w:b w:val="0"/>
          <w:i w:val="0"/>
          <w:caps w:val="0"/>
          <w:spacing w:val="0"/>
          <w:w w:val="100"/>
          <w:kern w:val="2"/>
          <w:sz w:val="28"/>
          <w:szCs w:val="28"/>
          <w:highlight w:val="none"/>
          <w:lang w:eastAsia="zh-CN" w:bidi="ar-SA"/>
        </w:rPr>
        <w:t>良以上</w:t>
      </w:r>
      <w:r>
        <w:rPr>
          <w:rStyle w:val="57"/>
          <w:rFonts w:hint="eastAsia" w:ascii="仿宋" w:hAnsi="仿宋" w:eastAsia="仿宋" w:cs="仿宋"/>
          <w:b w:val="0"/>
          <w:i w:val="0"/>
          <w:caps w:val="0"/>
          <w:spacing w:val="0"/>
          <w:w w:val="100"/>
          <w:kern w:val="2"/>
          <w:sz w:val="28"/>
          <w:szCs w:val="28"/>
          <w:highlight w:val="none"/>
          <w:lang w:val="en-US" w:eastAsia="zh-CN" w:bidi="ar-SA"/>
        </w:rPr>
        <w:t>的，在预算不变的情况下，经甲方同意可续签下一年合同，续签最多不超过</w:t>
      </w:r>
      <w:r>
        <w:rPr>
          <w:rStyle w:val="57"/>
          <w:rFonts w:hint="default" w:ascii="仿宋" w:hAnsi="仿宋" w:eastAsia="仿宋" w:cs="仿宋"/>
          <w:b w:val="0"/>
          <w:i w:val="0"/>
          <w:caps w:val="0"/>
          <w:spacing w:val="0"/>
          <w:w w:val="100"/>
          <w:kern w:val="2"/>
          <w:sz w:val="28"/>
          <w:szCs w:val="28"/>
          <w:highlight w:val="none"/>
          <w:lang w:val="en-US" w:eastAsia="zh-CN" w:bidi="ar-SA"/>
        </w:rPr>
        <w:t>2</w:t>
      </w:r>
      <w:r>
        <w:rPr>
          <w:rStyle w:val="57"/>
          <w:rFonts w:hint="eastAsia" w:ascii="仿宋" w:hAnsi="仿宋" w:eastAsia="仿宋" w:cs="仿宋"/>
          <w:b w:val="0"/>
          <w:i w:val="0"/>
          <w:caps w:val="0"/>
          <w:spacing w:val="0"/>
          <w:w w:val="100"/>
          <w:kern w:val="2"/>
          <w:sz w:val="28"/>
          <w:szCs w:val="28"/>
          <w:highlight w:val="none"/>
          <w:lang w:val="en-US" w:eastAsia="zh-CN" w:bidi="ar-SA"/>
        </w:rPr>
        <w:t>次。</w:t>
      </w:r>
    </w:p>
    <w:p w14:paraId="2F60579D">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2" w:firstLineChars="200"/>
        <w:jc w:val="left"/>
        <w:textAlignment w:val="baseline"/>
        <w:rPr>
          <w:rStyle w:val="57"/>
          <w:rFonts w:hint="default" w:ascii="仿宋" w:hAnsi="仿宋" w:eastAsia="仿宋" w:cs="仿宋"/>
          <w:b/>
          <w:bCs/>
          <w:i w:val="0"/>
          <w:caps w:val="0"/>
          <w:spacing w:val="0"/>
          <w:w w:val="100"/>
          <w:kern w:val="2"/>
          <w:sz w:val="28"/>
          <w:szCs w:val="28"/>
          <w:highlight w:val="none"/>
          <w:lang w:eastAsia="zh-CN" w:bidi="ar-SA"/>
        </w:rPr>
      </w:pPr>
      <w:r>
        <w:rPr>
          <w:rStyle w:val="57"/>
          <w:rFonts w:hint="default" w:ascii="仿宋" w:hAnsi="仿宋" w:eastAsia="仿宋" w:cs="仿宋"/>
          <w:b/>
          <w:bCs/>
          <w:i w:val="0"/>
          <w:caps w:val="0"/>
          <w:spacing w:val="0"/>
          <w:w w:val="100"/>
          <w:kern w:val="2"/>
          <w:sz w:val="28"/>
          <w:szCs w:val="28"/>
          <w:highlight w:val="none"/>
          <w:lang w:eastAsia="zh-CN" w:bidi="ar-SA"/>
        </w:rPr>
        <w:t>第三条 服务金额</w:t>
      </w:r>
    </w:p>
    <w:p w14:paraId="517935AE">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default" w:ascii="仿宋" w:hAnsi="仿宋" w:eastAsia="仿宋" w:cs="仿宋"/>
          <w:b w:val="0"/>
          <w:i w:val="0"/>
          <w:caps w:val="0"/>
          <w:spacing w:val="0"/>
          <w:w w:val="100"/>
          <w:kern w:val="2"/>
          <w:sz w:val="28"/>
          <w:szCs w:val="28"/>
          <w:highlight w:val="none"/>
          <w:lang w:eastAsia="zh-CN" w:bidi="ar-SA"/>
        </w:rPr>
      </w:pPr>
      <w:r>
        <w:rPr>
          <w:rStyle w:val="57"/>
          <w:rFonts w:hint="default" w:ascii="仿宋" w:hAnsi="仿宋" w:eastAsia="仿宋" w:cs="仿宋"/>
          <w:b w:val="0"/>
          <w:i w:val="0"/>
          <w:caps w:val="0"/>
          <w:spacing w:val="0"/>
          <w:w w:val="100"/>
          <w:kern w:val="2"/>
          <w:sz w:val="28"/>
          <w:szCs w:val="28"/>
          <w:highlight w:val="none"/>
          <w:lang w:eastAsia="zh-CN" w:bidi="ar-SA"/>
        </w:rPr>
        <w:t>合同暂定总价为人民币XX元（大写： ）。本费用为含税价，包括年度食堂管理服务费和临时膳食保障服务费，具体包含乙方员工的工资、乙方的管理费用等完成本项目所有工作量的全部费用。甲方每年度向乙方支付的全部费用不超过合同暂定总价。</w:t>
      </w:r>
    </w:p>
    <w:p w14:paraId="50B0DE50">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2" w:firstLineChars="200"/>
        <w:jc w:val="left"/>
        <w:textAlignment w:val="baseline"/>
        <w:rPr>
          <w:rStyle w:val="57"/>
          <w:rFonts w:hint="eastAsia" w:ascii="仿宋" w:hAnsi="仿宋" w:eastAsia="仿宋" w:cs="仿宋"/>
          <w:b/>
          <w:bCs/>
          <w:i w:val="0"/>
          <w:caps w:val="0"/>
          <w:spacing w:val="0"/>
          <w:w w:val="100"/>
          <w:kern w:val="2"/>
          <w:sz w:val="28"/>
          <w:szCs w:val="28"/>
          <w:highlight w:val="none"/>
          <w:lang w:val="en-US" w:eastAsia="zh-CN" w:bidi="ar-SA"/>
        </w:rPr>
      </w:pPr>
      <w:r>
        <w:rPr>
          <w:rStyle w:val="57"/>
          <w:rFonts w:hint="default" w:ascii="仿宋" w:hAnsi="仿宋" w:eastAsia="仿宋" w:cs="仿宋"/>
          <w:b/>
          <w:bCs/>
          <w:i w:val="0"/>
          <w:caps w:val="0"/>
          <w:spacing w:val="0"/>
          <w:w w:val="100"/>
          <w:kern w:val="2"/>
          <w:sz w:val="28"/>
          <w:szCs w:val="28"/>
          <w:highlight w:val="none"/>
          <w:lang w:eastAsia="zh-CN" w:bidi="ar-SA"/>
        </w:rPr>
        <w:t xml:space="preserve">第四条 </w:t>
      </w:r>
      <w:r>
        <w:rPr>
          <w:rStyle w:val="57"/>
          <w:rFonts w:hint="eastAsia" w:ascii="仿宋" w:hAnsi="仿宋" w:eastAsia="仿宋" w:cs="仿宋"/>
          <w:b/>
          <w:bCs/>
          <w:i w:val="0"/>
          <w:caps w:val="0"/>
          <w:spacing w:val="0"/>
          <w:w w:val="100"/>
          <w:kern w:val="2"/>
          <w:sz w:val="28"/>
          <w:szCs w:val="28"/>
          <w:highlight w:val="none"/>
          <w:lang w:val="en-US" w:eastAsia="zh-CN" w:bidi="ar-SA"/>
        </w:rPr>
        <w:t>费用结算</w:t>
      </w:r>
    </w:p>
    <w:p w14:paraId="23754869">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default" w:ascii="仿宋" w:hAnsi="仿宋" w:eastAsia="仿宋" w:cs="仿宋"/>
          <w:b w:val="0"/>
          <w:i w:val="0"/>
          <w:caps w:val="0"/>
          <w:spacing w:val="0"/>
          <w:w w:val="100"/>
          <w:kern w:val="2"/>
          <w:sz w:val="28"/>
          <w:szCs w:val="28"/>
          <w:highlight w:val="none"/>
          <w:lang w:eastAsia="zh-CN" w:bidi="ar-SA"/>
        </w:rPr>
      </w:pPr>
      <w:r>
        <w:rPr>
          <w:rStyle w:val="57"/>
          <w:rFonts w:hint="default" w:ascii="仿宋" w:hAnsi="仿宋" w:eastAsia="仿宋" w:cs="仿宋"/>
          <w:b w:val="0"/>
          <w:i w:val="0"/>
          <w:caps w:val="0"/>
          <w:spacing w:val="0"/>
          <w:w w:val="100"/>
          <w:kern w:val="2"/>
          <w:sz w:val="28"/>
          <w:szCs w:val="28"/>
          <w:highlight w:val="none"/>
          <w:lang w:eastAsia="zh-CN" w:bidi="ar-SA"/>
        </w:rPr>
        <w:t>1.年度食堂管理服务费每月结算一次，按（中标价格-临时膳食保障服务费）/12个月进行支付。临时膳食保障服务费由甲方向乙方发出书面用餐通知后实际发生的费用据实结算，每年最高不超过人民币15000元。</w:t>
      </w:r>
    </w:p>
    <w:p w14:paraId="029E7231">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eastAsia" w:ascii="仿宋" w:hAnsi="仿宋" w:eastAsia="仿宋" w:cs="仿宋"/>
          <w:b w:val="0"/>
          <w:i w:val="0"/>
          <w:caps w:val="0"/>
          <w:spacing w:val="0"/>
          <w:w w:val="100"/>
          <w:kern w:val="2"/>
          <w:sz w:val="28"/>
          <w:szCs w:val="28"/>
          <w:highlight w:val="none"/>
          <w:lang w:val="en-US" w:eastAsia="zh-CN" w:bidi="ar-SA"/>
        </w:rPr>
      </w:pPr>
      <w:r>
        <w:rPr>
          <w:rStyle w:val="57"/>
          <w:rFonts w:hint="default" w:ascii="仿宋" w:hAnsi="仿宋" w:eastAsia="仿宋" w:cs="仿宋"/>
          <w:b w:val="0"/>
          <w:i w:val="0"/>
          <w:caps w:val="0"/>
          <w:spacing w:val="0"/>
          <w:w w:val="100"/>
          <w:kern w:val="2"/>
          <w:sz w:val="28"/>
          <w:szCs w:val="28"/>
          <w:highlight w:val="none"/>
          <w:lang w:eastAsia="zh-CN" w:bidi="ar-SA"/>
        </w:rPr>
        <w:t>2.</w:t>
      </w:r>
      <w:r>
        <w:rPr>
          <w:rStyle w:val="57"/>
          <w:rFonts w:hint="eastAsia" w:ascii="仿宋" w:hAnsi="仿宋" w:eastAsia="仿宋" w:cs="仿宋"/>
          <w:b w:val="0"/>
          <w:i w:val="0"/>
          <w:caps w:val="0"/>
          <w:spacing w:val="0"/>
          <w:w w:val="100"/>
          <w:kern w:val="2"/>
          <w:sz w:val="28"/>
          <w:szCs w:val="28"/>
          <w:highlight w:val="none"/>
          <w:lang w:val="en-US" w:eastAsia="zh-CN" w:bidi="ar-SA"/>
        </w:rPr>
        <w:t>每月</w:t>
      </w:r>
      <w:r>
        <w:rPr>
          <w:rStyle w:val="57"/>
          <w:rFonts w:hint="default" w:ascii="仿宋" w:hAnsi="仿宋" w:eastAsia="仿宋" w:cs="仿宋"/>
          <w:b w:val="0"/>
          <w:i w:val="0"/>
          <w:caps w:val="0"/>
          <w:spacing w:val="0"/>
          <w:w w:val="100"/>
          <w:kern w:val="2"/>
          <w:sz w:val="28"/>
          <w:szCs w:val="28"/>
          <w:highlight w:val="none"/>
          <w:lang w:eastAsia="zh-CN" w:bidi="ar-SA"/>
        </w:rPr>
        <w:t>15</w:t>
      </w:r>
      <w:r>
        <w:rPr>
          <w:rStyle w:val="57"/>
          <w:rFonts w:hint="eastAsia" w:ascii="仿宋" w:hAnsi="仿宋" w:eastAsia="仿宋" w:cs="仿宋"/>
          <w:b w:val="0"/>
          <w:i w:val="0"/>
          <w:caps w:val="0"/>
          <w:spacing w:val="0"/>
          <w:w w:val="100"/>
          <w:kern w:val="2"/>
          <w:sz w:val="28"/>
          <w:szCs w:val="28"/>
          <w:highlight w:val="none"/>
          <w:lang w:val="en-US" w:eastAsia="zh-CN" w:bidi="ar-SA"/>
        </w:rPr>
        <w:t>日前乙方向甲方开具上月服务费</w:t>
      </w:r>
      <w:r>
        <w:rPr>
          <w:rStyle w:val="57"/>
          <w:rFonts w:hint="default" w:ascii="仿宋" w:hAnsi="仿宋" w:eastAsia="仿宋" w:cs="仿宋"/>
          <w:b w:val="0"/>
          <w:i w:val="0"/>
          <w:caps w:val="0"/>
          <w:spacing w:val="0"/>
          <w:w w:val="100"/>
          <w:kern w:val="2"/>
          <w:sz w:val="28"/>
          <w:szCs w:val="28"/>
          <w:highlight w:val="none"/>
          <w:lang w:eastAsia="zh-CN" w:bidi="ar-SA"/>
        </w:rPr>
        <w:t>的</w:t>
      </w:r>
      <w:r>
        <w:rPr>
          <w:rStyle w:val="57"/>
          <w:rFonts w:hint="eastAsia" w:ascii="仿宋" w:hAnsi="仿宋" w:eastAsia="仿宋" w:cs="仿宋"/>
          <w:b w:val="0"/>
          <w:i w:val="0"/>
          <w:caps w:val="0"/>
          <w:spacing w:val="0"/>
          <w:w w:val="100"/>
          <w:kern w:val="2"/>
          <w:sz w:val="28"/>
          <w:szCs w:val="28"/>
          <w:highlight w:val="none"/>
          <w:lang w:val="en-US" w:eastAsia="zh-CN" w:bidi="ar-SA"/>
        </w:rPr>
        <w:t>正规发票（增值税普通发票或专用发票），甲方收到发票后在</w:t>
      </w:r>
      <w:r>
        <w:rPr>
          <w:rStyle w:val="57"/>
          <w:rFonts w:hint="default" w:ascii="仿宋" w:hAnsi="仿宋" w:eastAsia="仿宋" w:cs="仿宋"/>
          <w:b w:val="0"/>
          <w:i w:val="0"/>
          <w:caps w:val="0"/>
          <w:spacing w:val="0"/>
          <w:w w:val="100"/>
          <w:kern w:val="2"/>
          <w:sz w:val="28"/>
          <w:szCs w:val="28"/>
          <w:highlight w:val="none"/>
          <w:lang w:eastAsia="zh-CN" w:bidi="ar-SA"/>
        </w:rPr>
        <w:t>5</w:t>
      </w:r>
      <w:r>
        <w:rPr>
          <w:rStyle w:val="57"/>
          <w:rFonts w:hint="eastAsia" w:ascii="仿宋" w:hAnsi="仿宋" w:eastAsia="仿宋" w:cs="仿宋"/>
          <w:b w:val="0"/>
          <w:i w:val="0"/>
          <w:caps w:val="0"/>
          <w:spacing w:val="0"/>
          <w:w w:val="100"/>
          <w:kern w:val="2"/>
          <w:sz w:val="28"/>
          <w:szCs w:val="28"/>
          <w:highlight w:val="none"/>
          <w:lang w:val="en-US" w:eastAsia="zh-CN" w:bidi="ar-SA"/>
        </w:rPr>
        <w:t>个工作日内以转账方式将上月服务费</w:t>
      </w:r>
      <w:r>
        <w:rPr>
          <w:rStyle w:val="57"/>
          <w:rFonts w:hint="default" w:ascii="仿宋" w:hAnsi="仿宋" w:eastAsia="仿宋" w:cs="仿宋"/>
          <w:b w:val="0"/>
          <w:i w:val="0"/>
          <w:caps w:val="0"/>
          <w:spacing w:val="0"/>
          <w:w w:val="100"/>
          <w:kern w:val="2"/>
          <w:sz w:val="28"/>
          <w:szCs w:val="28"/>
          <w:highlight w:val="none"/>
          <w:lang w:eastAsia="zh-CN" w:bidi="ar-SA"/>
        </w:rPr>
        <w:t>XXX</w:t>
      </w:r>
      <w:r>
        <w:rPr>
          <w:rStyle w:val="57"/>
          <w:rFonts w:hint="eastAsia" w:ascii="仿宋" w:hAnsi="仿宋" w:eastAsia="仿宋" w:cs="仿宋"/>
          <w:b w:val="0"/>
          <w:i w:val="0"/>
          <w:caps w:val="0"/>
          <w:spacing w:val="0"/>
          <w:w w:val="100"/>
          <w:kern w:val="2"/>
          <w:sz w:val="28"/>
          <w:szCs w:val="28"/>
          <w:highlight w:val="none"/>
          <w:lang w:val="en-US" w:eastAsia="zh-CN" w:bidi="ar-SA"/>
        </w:rPr>
        <w:t>元（大写： ）转入乙方指定账户</w:t>
      </w:r>
      <w:r>
        <w:rPr>
          <w:rStyle w:val="57"/>
          <w:rFonts w:hint="default" w:ascii="仿宋" w:hAnsi="仿宋" w:eastAsia="仿宋" w:cs="仿宋"/>
          <w:b w:val="0"/>
          <w:i w:val="0"/>
          <w:caps w:val="0"/>
          <w:spacing w:val="0"/>
          <w:w w:val="100"/>
          <w:kern w:val="2"/>
          <w:sz w:val="28"/>
          <w:szCs w:val="28"/>
          <w:highlight w:val="none"/>
          <w:lang w:eastAsia="zh-CN" w:bidi="ar-SA"/>
        </w:rPr>
        <w:t>。</w:t>
      </w:r>
    </w:p>
    <w:p w14:paraId="53D6BAF4">
      <w:pPr>
        <w:keepNext w:val="0"/>
        <w:keepLines w:val="0"/>
        <w:pageBreakBefore w:val="0"/>
        <w:widowControl/>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eastAsia" w:ascii="仿宋" w:hAnsi="仿宋" w:eastAsia="仿宋" w:cs="仿宋"/>
          <w:b w:val="0"/>
          <w:i w:val="0"/>
          <w:caps w:val="0"/>
          <w:spacing w:val="0"/>
          <w:w w:val="100"/>
          <w:kern w:val="2"/>
          <w:sz w:val="28"/>
          <w:szCs w:val="28"/>
          <w:highlight w:val="none"/>
          <w:lang w:val="en-US" w:eastAsia="zh-CN" w:bidi="ar-SA"/>
        </w:rPr>
      </w:pPr>
      <w:r>
        <w:rPr>
          <w:rStyle w:val="57"/>
          <w:rFonts w:hint="default" w:ascii="仿宋" w:hAnsi="仿宋" w:eastAsia="仿宋" w:cs="仿宋"/>
          <w:b w:val="0"/>
          <w:i w:val="0"/>
          <w:caps w:val="0"/>
          <w:spacing w:val="0"/>
          <w:w w:val="100"/>
          <w:kern w:val="2"/>
          <w:sz w:val="28"/>
          <w:szCs w:val="28"/>
          <w:highlight w:val="none"/>
          <w:lang w:eastAsia="zh-CN" w:bidi="ar-SA"/>
        </w:rPr>
        <w:t>3.</w:t>
      </w:r>
      <w:r>
        <w:rPr>
          <w:rStyle w:val="57"/>
          <w:rFonts w:hint="eastAsia" w:ascii="仿宋" w:hAnsi="仿宋" w:eastAsia="仿宋" w:cs="仿宋"/>
          <w:b w:val="0"/>
          <w:i w:val="0"/>
          <w:caps w:val="0"/>
          <w:spacing w:val="0"/>
          <w:w w:val="100"/>
          <w:kern w:val="2"/>
          <w:sz w:val="28"/>
          <w:szCs w:val="28"/>
          <w:highlight w:val="none"/>
          <w:lang w:val="en-US" w:eastAsia="zh-CN" w:bidi="ar-SA"/>
        </w:rPr>
        <w:t>乙方收款账户信息如下：</w:t>
      </w:r>
    </w:p>
    <w:p w14:paraId="50B5021A">
      <w:pPr>
        <w:keepNext w:val="0"/>
        <w:keepLines w:val="0"/>
        <w:pageBreakBefore w:val="0"/>
        <w:widowControl/>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default" w:ascii="仿宋" w:hAnsi="仿宋" w:eastAsia="仿宋" w:cs="仿宋"/>
          <w:b w:val="0"/>
          <w:i w:val="0"/>
          <w:caps w:val="0"/>
          <w:spacing w:val="0"/>
          <w:w w:val="100"/>
          <w:kern w:val="2"/>
          <w:sz w:val="28"/>
          <w:szCs w:val="28"/>
          <w:highlight w:val="none"/>
          <w:lang w:val="en-US" w:eastAsia="zh-CN" w:bidi="ar-SA"/>
        </w:rPr>
      </w:pPr>
      <w:r>
        <w:rPr>
          <w:rStyle w:val="57"/>
          <w:rFonts w:hint="eastAsia" w:ascii="仿宋" w:hAnsi="仿宋" w:eastAsia="仿宋" w:cs="仿宋"/>
          <w:b w:val="0"/>
          <w:i w:val="0"/>
          <w:caps w:val="0"/>
          <w:spacing w:val="0"/>
          <w:w w:val="100"/>
          <w:kern w:val="2"/>
          <w:sz w:val="28"/>
          <w:szCs w:val="28"/>
          <w:highlight w:val="none"/>
          <w:lang w:val="en-US" w:eastAsia="zh-CN" w:bidi="ar-SA"/>
        </w:rPr>
        <w:t>乙</w:t>
      </w:r>
      <w:r>
        <w:rPr>
          <w:rStyle w:val="57"/>
          <w:rFonts w:hint="default" w:ascii="仿宋" w:hAnsi="仿宋" w:eastAsia="仿宋" w:cs="仿宋"/>
          <w:b w:val="0"/>
          <w:i w:val="0"/>
          <w:caps w:val="0"/>
          <w:spacing w:val="0"/>
          <w:w w:val="100"/>
          <w:kern w:val="2"/>
          <w:sz w:val="28"/>
          <w:szCs w:val="28"/>
          <w:highlight w:val="none"/>
          <w:lang w:val="en-US" w:eastAsia="zh-CN" w:bidi="ar-SA"/>
        </w:rPr>
        <w:t xml:space="preserve">  </w:t>
      </w:r>
      <w:r>
        <w:rPr>
          <w:rStyle w:val="57"/>
          <w:rFonts w:hint="eastAsia" w:ascii="仿宋" w:hAnsi="仿宋" w:eastAsia="仿宋" w:cs="仿宋"/>
          <w:b w:val="0"/>
          <w:i w:val="0"/>
          <w:caps w:val="0"/>
          <w:spacing w:val="0"/>
          <w:w w:val="100"/>
          <w:kern w:val="2"/>
          <w:sz w:val="28"/>
          <w:szCs w:val="28"/>
          <w:highlight w:val="none"/>
          <w:lang w:val="en-US" w:eastAsia="zh-CN" w:bidi="ar-SA"/>
        </w:rPr>
        <w:t>方：</w:t>
      </w:r>
    </w:p>
    <w:p w14:paraId="1D3E5798">
      <w:pPr>
        <w:keepNext w:val="0"/>
        <w:keepLines w:val="0"/>
        <w:pageBreakBefore w:val="0"/>
        <w:widowControl/>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eastAsia" w:ascii="仿宋" w:hAnsi="仿宋" w:eastAsia="仿宋" w:cs="仿宋"/>
          <w:b w:val="0"/>
          <w:i w:val="0"/>
          <w:caps w:val="0"/>
          <w:spacing w:val="0"/>
          <w:w w:val="100"/>
          <w:kern w:val="2"/>
          <w:sz w:val="28"/>
          <w:szCs w:val="28"/>
          <w:highlight w:val="none"/>
          <w:lang w:val="en-US" w:eastAsia="zh-CN" w:bidi="ar-SA"/>
        </w:rPr>
      </w:pPr>
      <w:r>
        <w:rPr>
          <w:rStyle w:val="57"/>
          <w:rFonts w:hint="eastAsia" w:ascii="仿宋" w:hAnsi="仿宋" w:eastAsia="仿宋" w:cs="仿宋"/>
          <w:b w:val="0"/>
          <w:i w:val="0"/>
          <w:caps w:val="0"/>
          <w:spacing w:val="0"/>
          <w:w w:val="100"/>
          <w:kern w:val="2"/>
          <w:sz w:val="28"/>
          <w:szCs w:val="28"/>
          <w:highlight w:val="none"/>
          <w:lang w:val="en-US" w:eastAsia="zh-CN" w:bidi="ar-SA"/>
        </w:rPr>
        <w:t>开户行：</w:t>
      </w:r>
    </w:p>
    <w:p w14:paraId="321EAD64">
      <w:pPr>
        <w:keepNext w:val="0"/>
        <w:keepLines w:val="0"/>
        <w:pageBreakBefore w:val="0"/>
        <w:widowControl/>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eastAsia" w:ascii="仿宋" w:hAnsi="仿宋" w:eastAsia="仿宋" w:cs="仿宋"/>
          <w:b w:val="0"/>
          <w:i w:val="0"/>
          <w:caps w:val="0"/>
          <w:spacing w:val="0"/>
          <w:w w:val="100"/>
          <w:kern w:val="2"/>
          <w:sz w:val="28"/>
          <w:szCs w:val="28"/>
          <w:highlight w:val="none"/>
          <w:lang w:val="en-US" w:eastAsia="zh-CN" w:bidi="ar-SA"/>
        </w:rPr>
      </w:pPr>
      <w:r>
        <w:rPr>
          <w:rStyle w:val="57"/>
          <w:rFonts w:hint="eastAsia" w:ascii="仿宋" w:hAnsi="仿宋" w:eastAsia="仿宋" w:cs="仿宋"/>
          <w:b w:val="0"/>
          <w:i w:val="0"/>
          <w:caps w:val="0"/>
          <w:spacing w:val="0"/>
          <w:w w:val="100"/>
          <w:kern w:val="2"/>
          <w:sz w:val="28"/>
          <w:szCs w:val="28"/>
          <w:highlight w:val="none"/>
          <w:lang w:val="en-US" w:eastAsia="zh-CN" w:bidi="ar-SA"/>
        </w:rPr>
        <w:t>户</w:t>
      </w:r>
      <w:r>
        <w:rPr>
          <w:rStyle w:val="57"/>
          <w:rFonts w:hint="default" w:ascii="仿宋" w:hAnsi="仿宋" w:eastAsia="仿宋" w:cs="仿宋"/>
          <w:b w:val="0"/>
          <w:i w:val="0"/>
          <w:caps w:val="0"/>
          <w:spacing w:val="0"/>
          <w:w w:val="100"/>
          <w:kern w:val="2"/>
          <w:sz w:val="28"/>
          <w:szCs w:val="28"/>
          <w:highlight w:val="none"/>
          <w:lang w:val="en-US" w:eastAsia="zh-CN" w:bidi="ar-SA"/>
        </w:rPr>
        <w:t xml:space="preserve">  </w:t>
      </w:r>
      <w:r>
        <w:rPr>
          <w:rStyle w:val="57"/>
          <w:rFonts w:hint="eastAsia" w:ascii="仿宋" w:hAnsi="仿宋" w:eastAsia="仿宋" w:cs="仿宋"/>
          <w:b w:val="0"/>
          <w:i w:val="0"/>
          <w:caps w:val="0"/>
          <w:spacing w:val="0"/>
          <w:w w:val="100"/>
          <w:kern w:val="2"/>
          <w:sz w:val="28"/>
          <w:szCs w:val="28"/>
          <w:highlight w:val="none"/>
          <w:lang w:val="en-US" w:eastAsia="zh-CN" w:bidi="ar-SA"/>
        </w:rPr>
        <w:t>名：</w:t>
      </w:r>
    </w:p>
    <w:p w14:paraId="3DD1A21E">
      <w:pPr>
        <w:keepNext w:val="0"/>
        <w:keepLines w:val="0"/>
        <w:pageBreakBefore w:val="0"/>
        <w:widowControl/>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default" w:ascii="仿宋" w:hAnsi="仿宋" w:eastAsia="仿宋" w:cs="仿宋"/>
          <w:b w:val="0"/>
          <w:i w:val="0"/>
          <w:caps w:val="0"/>
          <w:spacing w:val="0"/>
          <w:w w:val="100"/>
          <w:kern w:val="2"/>
          <w:sz w:val="28"/>
          <w:szCs w:val="28"/>
          <w:highlight w:val="none"/>
          <w:lang w:val="en-US" w:eastAsia="zh-CN" w:bidi="ar-SA"/>
        </w:rPr>
      </w:pPr>
      <w:r>
        <w:rPr>
          <w:rStyle w:val="57"/>
          <w:rFonts w:hint="eastAsia" w:ascii="仿宋" w:hAnsi="仿宋" w:eastAsia="仿宋" w:cs="仿宋"/>
          <w:b w:val="0"/>
          <w:i w:val="0"/>
          <w:caps w:val="0"/>
          <w:spacing w:val="0"/>
          <w:w w:val="100"/>
          <w:kern w:val="2"/>
          <w:sz w:val="28"/>
          <w:szCs w:val="28"/>
          <w:highlight w:val="none"/>
          <w:lang w:val="en-US" w:eastAsia="zh-CN" w:bidi="ar-SA"/>
        </w:rPr>
        <w:t>账</w:t>
      </w:r>
      <w:r>
        <w:rPr>
          <w:rStyle w:val="57"/>
          <w:rFonts w:hint="default" w:ascii="仿宋" w:hAnsi="仿宋" w:eastAsia="仿宋" w:cs="仿宋"/>
          <w:b w:val="0"/>
          <w:i w:val="0"/>
          <w:caps w:val="0"/>
          <w:spacing w:val="0"/>
          <w:w w:val="100"/>
          <w:kern w:val="2"/>
          <w:sz w:val="28"/>
          <w:szCs w:val="28"/>
          <w:highlight w:val="none"/>
          <w:lang w:val="en-US" w:eastAsia="zh-CN" w:bidi="ar-SA"/>
        </w:rPr>
        <w:t xml:space="preserve">  </w:t>
      </w:r>
      <w:r>
        <w:rPr>
          <w:rStyle w:val="57"/>
          <w:rFonts w:hint="eastAsia" w:ascii="仿宋" w:hAnsi="仿宋" w:eastAsia="仿宋" w:cs="仿宋"/>
          <w:b w:val="0"/>
          <w:i w:val="0"/>
          <w:caps w:val="0"/>
          <w:spacing w:val="0"/>
          <w:w w:val="100"/>
          <w:kern w:val="2"/>
          <w:sz w:val="28"/>
          <w:szCs w:val="28"/>
          <w:highlight w:val="none"/>
          <w:lang w:val="en-US" w:eastAsia="zh-CN" w:bidi="ar-SA"/>
        </w:rPr>
        <w:t>号：</w:t>
      </w:r>
    </w:p>
    <w:p w14:paraId="1F4E54EE">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2" w:firstLineChars="200"/>
        <w:jc w:val="left"/>
        <w:textAlignment w:val="baseline"/>
        <w:rPr>
          <w:rStyle w:val="57"/>
          <w:rFonts w:hint="eastAsia" w:ascii="仿宋" w:hAnsi="仿宋" w:eastAsia="仿宋" w:cs="仿宋"/>
          <w:b/>
          <w:bCs/>
          <w:i w:val="0"/>
          <w:caps w:val="0"/>
          <w:color w:val="000000"/>
          <w:spacing w:val="0"/>
          <w:w w:val="100"/>
          <w:sz w:val="28"/>
          <w:szCs w:val="28"/>
          <w:highlight w:val="none"/>
        </w:rPr>
      </w:pPr>
      <w:r>
        <w:rPr>
          <w:rStyle w:val="57"/>
          <w:rFonts w:hint="default" w:ascii="仿宋" w:hAnsi="仿宋" w:eastAsia="仿宋" w:cs="仿宋"/>
          <w:b/>
          <w:bCs/>
          <w:i w:val="0"/>
          <w:caps w:val="0"/>
          <w:color w:val="000000"/>
          <w:spacing w:val="0"/>
          <w:w w:val="100"/>
          <w:sz w:val="28"/>
          <w:szCs w:val="28"/>
          <w:highlight w:val="none"/>
        </w:rPr>
        <w:t>4.</w:t>
      </w:r>
      <w:r>
        <w:rPr>
          <w:rStyle w:val="57"/>
          <w:rFonts w:hint="eastAsia" w:ascii="仿宋" w:hAnsi="仿宋" w:eastAsia="仿宋" w:cs="仿宋"/>
          <w:b/>
          <w:bCs/>
          <w:i w:val="0"/>
          <w:caps w:val="0"/>
          <w:color w:val="000000"/>
          <w:spacing w:val="0"/>
          <w:w w:val="100"/>
          <w:sz w:val="28"/>
          <w:szCs w:val="28"/>
          <w:highlight w:val="none"/>
        </w:rPr>
        <w:t>因政策、财政拨款等原因导致延迟支付合同款项的不视为甲方违约，乙方应当继续履行相关义务。</w:t>
      </w:r>
    </w:p>
    <w:p w14:paraId="5E3165B3">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2" w:firstLineChars="200"/>
        <w:jc w:val="left"/>
        <w:textAlignment w:val="baseline"/>
        <w:rPr>
          <w:rStyle w:val="57"/>
          <w:rFonts w:hint="default" w:ascii="仿宋" w:hAnsi="仿宋" w:eastAsia="仿宋" w:cs="仿宋"/>
          <w:b/>
          <w:bCs/>
          <w:i w:val="0"/>
          <w:caps w:val="0"/>
          <w:spacing w:val="0"/>
          <w:w w:val="100"/>
          <w:kern w:val="2"/>
          <w:sz w:val="28"/>
          <w:szCs w:val="28"/>
          <w:highlight w:val="none"/>
          <w:lang w:eastAsia="zh-CN" w:bidi="ar-SA"/>
        </w:rPr>
      </w:pPr>
      <w:r>
        <w:rPr>
          <w:rStyle w:val="57"/>
          <w:rFonts w:hint="eastAsia" w:ascii="仿宋" w:hAnsi="仿宋" w:eastAsia="仿宋" w:cs="仿宋"/>
          <w:b/>
          <w:bCs/>
          <w:i w:val="0"/>
          <w:caps w:val="0"/>
          <w:spacing w:val="0"/>
          <w:w w:val="100"/>
          <w:kern w:val="2"/>
          <w:sz w:val="28"/>
          <w:szCs w:val="28"/>
          <w:highlight w:val="none"/>
          <w:lang w:val="en-US" w:eastAsia="zh-CN" w:bidi="ar-SA"/>
        </w:rPr>
        <w:t>第</w:t>
      </w:r>
      <w:r>
        <w:rPr>
          <w:rStyle w:val="57"/>
          <w:rFonts w:hint="default" w:ascii="仿宋" w:hAnsi="仿宋" w:eastAsia="仿宋" w:cs="仿宋"/>
          <w:b/>
          <w:bCs/>
          <w:i w:val="0"/>
          <w:caps w:val="0"/>
          <w:spacing w:val="0"/>
          <w:w w:val="100"/>
          <w:kern w:val="2"/>
          <w:sz w:val="28"/>
          <w:szCs w:val="28"/>
          <w:highlight w:val="none"/>
          <w:lang w:eastAsia="zh-CN" w:bidi="ar-SA"/>
        </w:rPr>
        <w:t>五</w:t>
      </w:r>
      <w:r>
        <w:rPr>
          <w:rStyle w:val="57"/>
          <w:rFonts w:hint="eastAsia" w:ascii="仿宋" w:hAnsi="仿宋" w:eastAsia="仿宋" w:cs="仿宋"/>
          <w:b/>
          <w:bCs/>
          <w:i w:val="0"/>
          <w:caps w:val="0"/>
          <w:spacing w:val="0"/>
          <w:w w:val="100"/>
          <w:kern w:val="2"/>
          <w:sz w:val="28"/>
          <w:szCs w:val="28"/>
          <w:highlight w:val="none"/>
          <w:lang w:val="en-US" w:eastAsia="zh-CN" w:bidi="ar-SA"/>
        </w:rPr>
        <w:t xml:space="preserve">条 </w:t>
      </w:r>
      <w:r>
        <w:rPr>
          <w:rStyle w:val="57"/>
          <w:rFonts w:hint="default" w:ascii="仿宋" w:hAnsi="仿宋" w:eastAsia="仿宋" w:cs="仿宋"/>
          <w:b/>
          <w:bCs/>
          <w:i w:val="0"/>
          <w:caps w:val="0"/>
          <w:spacing w:val="0"/>
          <w:w w:val="100"/>
          <w:kern w:val="2"/>
          <w:sz w:val="28"/>
          <w:szCs w:val="28"/>
          <w:highlight w:val="none"/>
          <w:lang w:eastAsia="zh-CN" w:bidi="ar-SA"/>
        </w:rPr>
        <w:t>场地设施</w:t>
      </w:r>
    </w:p>
    <w:p w14:paraId="47217900">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eastAsia" w:ascii="仿宋" w:hAnsi="仿宋" w:eastAsia="仿宋" w:cs="仿宋"/>
          <w:b w:val="0"/>
          <w:i w:val="0"/>
          <w:caps w:val="0"/>
          <w:spacing w:val="0"/>
          <w:w w:val="100"/>
          <w:kern w:val="2"/>
          <w:sz w:val="28"/>
          <w:szCs w:val="28"/>
          <w:highlight w:val="none"/>
          <w:lang w:val="en-US" w:eastAsia="zh-CN" w:bidi="ar-SA"/>
        </w:rPr>
      </w:pPr>
      <w:r>
        <w:rPr>
          <w:rStyle w:val="57"/>
          <w:rFonts w:hint="default" w:ascii="仿宋" w:hAnsi="仿宋" w:eastAsia="仿宋" w:cs="仿宋"/>
          <w:b w:val="0"/>
          <w:i w:val="0"/>
          <w:caps w:val="0"/>
          <w:spacing w:val="0"/>
          <w:w w:val="100"/>
          <w:kern w:val="2"/>
          <w:sz w:val="28"/>
          <w:szCs w:val="28"/>
          <w:highlight w:val="none"/>
          <w:lang w:eastAsia="zh-CN" w:bidi="ar-SA"/>
        </w:rPr>
        <w:t>1.</w:t>
      </w:r>
      <w:r>
        <w:rPr>
          <w:rStyle w:val="57"/>
          <w:rFonts w:hint="eastAsia" w:ascii="仿宋" w:hAnsi="仿宋" w:eastAsia="仿宋" w:cs="仿宋"/>
          <w:b w:val="0"/>
          <w:i w:val="0"/>
          <w:caps w:val="0"/>
          <w:spacing w:val="0"/>
          <w:w w:val="100"/>
          <w:kern w:val="2"/>
          <w:sz w:val="28"/>
          <w:szCs w:val="28"/>
          <w:highlight w:val="none"/>
          <w:lang w:val="en-US" w:eastAsia="zh-CN" w:bidi="ar-SA"/>
        </w:rPr>
        <w:t>乙方</w:t>
      </w:r>
      <w:r>
        <w:rPr>
          <w:rStyle w:val="57"/>
          <w:rFonts w:hint="default" w:ascii="仿宋" w:hAnsi="仿宋" w:eastAsia="仿宋" w:cs="仿宋"/>
          <w:b w:val="0"/>
          <w:i w:val="0"/>
          <w:caps w:val="0"/>
          <w:spacing w:val="0"/>
          <w:w w:val="100"/>
          <w:kern w:val="2"/>
          <w:sz w:val="28"/>
          <w:szCs w:val="28"/>
          <w:highlight w:val="none"/>
          <w:lang w:val="en-US" w:eastAsia="zh-CN" w:bidi="ar-SA"/>
        </w:rPr>
        <w:t>服务</w:t>
      </w:r>
      <w:r>
        <w:rPr>
          <w:rStyle w:val="57"/>
          <w:rFonts w:hint="eastAsia" w:ascii="仿宋" w:hAnsi="仿宋" w:eastAsia="仿宋" w:cs="仿宋"/>
          <w:b w:val="0"/>
          <w:i w:val="0"/>
          <w:caps w:val="0"/>
          <w:spacing w:val="0"/>
          <w:w w:val="100"/>
          <w:kern w:val="2"/>
          <w:sz w:val="28"/>
          <w:szCs w:val="28"/>
          <w:highlight w:val="none"/>
          <w:lang w:val="en-US" w:eastAsia="zh-CN" w:bidi="ar-SA"/>
        </w:rPr>
        <w:t>期间，甲方将食堂房屋、场地及设备设施、炊具、餐具等免费提供给乙方</w:t>
      </w:r>
      <w:r>
        <w:rPr>
          <w:rStyle w:val="57"/>
          <w:rFonts w:hint="default" w:ascii="仿宋" w:hAnsi="仿宋" w:eastAsia="仿宋" w:cs="仿宋"/>
          <w:b w:val="0"/>
          <w:i w:val="0"/>
          <w:caps w:val="0"/>
          <w:spacing w:val="0"/>
          <w:w w:val="100"/>
          <w:kern w:val="2"/>
          <w:sz w:val="28"/>
          <w:szCs w:val="28"/>
          <w:highlight w:val="none"/>
          <w:lang w:val="en-US" w:eastAsia="zh-CN" w:bidi="ar-SA"/>
        </w:rPr>
        <w:t>管理</w:t>
      </w:r>
      <w:r>
        <w:rPr>
          <w:rStyle w:val="57"/>
          <w:rFonts w:hint="eastAsia" w:ascii="仿宋" w:hAnsi="仿宋" w:eastAsia="仿宋" w:cs="仿宋"/>
          <w:b w:val="0"/>
          <w:i w:val="0"/>
          <w:caps w:val="0"/>
          <w:spacing w:val="0"/>
          <w:w w:val="100"/>
          <w:kern w:val="2"/>
          <w:sz w:val="28"/>
          <w:szCs w:val="28"/>
          <w:highlight w:val="none"/>
          <w:lang w:val="en-US" w:eastAsia="zh-CN" w:bidi="ar-SA"/>
        </w:rPr>
        <w:t>使用，乙方在进场时与甲方进行设备、设施及餐用具交接，并登记造册，甲方保证为乙方提供的设备、设施能正常运转，餐用具规格、数量能满足食堂供餐需求。</w:t>
      </w:r>
    </w:p>
    <w:p w14:paraId="5A602FD0">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eastAsia" w:ascii="仿宋" w:hAnsi="仿宋" w:eastAsia="仿宋" w:cs="仿宋"/>
          <w:b/>
          <w:bCs/>
          <w:i w:val="0"/>
          <w:caps w:val="0"/>
          <w:spacing w:val="0"/>
          <w:w w:val="100"/>
          <w:kern w:val="2"/>
          <w:sz w:val="28"/>
          <w:szCs w:val="28"/>
          <w:highlight w:val="none"/>
          <w:lang w:val="en-US" w:eastAsia="zh-CN" w:bidi="ar-SA"/>
        </w:rPr>
      </w:pPr>
      <w:r>
        <w:rPr>
          <w:rStyle w:val="57"/>
          <w:rFonts w:hint="default" w:ascii="仿宋" w:hAnsi="仿宋" w:eastAsia="仿宋" w:cs="仿宋"/>
          <w:b w:val="0"/>
          <w:i w:val="0"/>
          <w:caps w:val="0"/>
          <w:spacing w:val="0"/>
          <w:w w:val="100"/>
          <w:kern w:val="2"/>
          <w:sz w:val="28"/>
          <w:szCs w:val="28"/>
          <w:highlight w:val="none"/>
          <w:lang w:eastAsia="zh-CN" w:bidi="ar-SA"/>
        </w:rPr>
        <w:t>2.</w:t>
      </w:r>
      <w:r>
        <w:rPr>
          <w:rStyle w:val="57"/>
          <w:rFonts w:hint="eastAsia" w:ascii="仿宋" w:hAnsi="仿宋" w:eastAsia="仿宋" w:cs="仿宋"/>
          <w:b w:val="0"/>
          <w:i w:val="0"/>
          <w:caps w:val="0"/>
          <w:spacing w:val="0"/>
          <w:w w:val="100"/>
          <w:kern w:val="2"/>
          <w:sz w:val="28"/>
          <w:szCs w:val="28"/>
          <w:highlight w:val="none"/>
          <w:lang w:val="en-US" w:eastAsia="zh-CN" w:bidi="ar-SA"/>
        </w:rPr>
        <w:t>在使用过程中，乙方要妥善规范使用厨房设施、设备及各种餐用具，因乙方使用或管理不当，造成设备及餐用具损坏，由乙方负责修复，无法修复的，由乙方予以赔偿；如属自然损耗达不到使用要求，乙方应将残值交于甲方处理并由甲方重新购置。若双方终止合同后，乙方应将上述物品交还甲方，如有遗失、损坏，乙方负责赔偿（自然损耗除外）。</w:t>
      </w:r>
    </w:p>
    <w:p w14:paraId="48DEA8A4">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2" w:firstLineChars="200"/>
        <w:jc w:val="left"/>
        <w:textAlignment w:val="baseline"/>
        <w:rPr>
          <w:rStyle w:val="57"/>
          <w:rFonts w:hint="eastAsia" w:ascii="仿宋" w:hAnsi="仿宋" w:eastAsia="仿宋" w:cs="仿宋"/>
          <w:b/>
          <w:bCs/>
          <w:i w:val="0"/>
          <w:caps w:val="0"/>
          <w:spacing w:val="0"/>
          <w:w w:val="100"/>
          <w:kern w:val="2"/>
          <w:sz w:val="28"/>
          <w:szCs w:val="28"/>
          <w:highlight w:val="none"/>
          <w:lang w:val="en-US" w:eastAsia="zh-CN" w:bidi="ar-SA"/>
        </w:rPr>
      </w:pPr>
      <w:r>
        <w:rPr>
          <w:rStyle w:val="57"/>
          <w:rFonts w:hint="eastAsia" w:ascii="仿宋" w:hAnsi="仿宋" w:eastAsia="仿宋" w:cs="仿宋"/>
          <w:b/>
          <w:bCs/>
          <w:i w:val="0"/>
          <w:caps w:val="0"/>
          <w:spacing w:val="0"/>
          <w:w w:val="100"/>
          <w:kern w:val="2"/>
          <w:sz w:val="28"/>
          <w:szCs w:val="28"/>
          <w:highlight w:val="none"/>
          <w:lang w:val="en-US" w:eastAsia="zh-CN" w:bidi="ar-SA"/>
        </w:rPr>
        <w:t>第</w:t>
      </w:r>
      <w:r>
        <w:rPr>
          <w:rStyle w:val="57"/>
          <w:rFonts w:hint="default" w:ascii="仿宋" w:hAnsi="仿宋" w:eastAsia="仿宋" w:cs="仿宋"/>
          <w:b/>
          <w:bCs/>
          <w:i w:val="0"/>
          <w:caps w:val="0"/>
          <w:spacing w:val="0"/>
          <w:w w:val="100"/>
          <w:kern w:val="2"/>
          <w:sz w:val="28"/>
          <w:szCs w:val="28"/>
          <w:highlight w:val="none"/>
          <w:lang w:eastAsia="zh-CN" w:bidi="ar-SA"/>
        </w:rPr>
        <w:t>六</w:t>
      </w:r>
      <w:r>
        <w:rPr>
          <w:rStyle w:val="57"/>
          <w:rFonts w:hint="eastAsia" w:ascii="仿宋" w:hAnsi="仿宋" w:eastAsia="仿宋" w:cs="仿宋"/>
          <w:b/>
          <w:bCs/>
          <w:i w:val="0"/>
          <w:caps w:val="0"/>
          <w:spacing w:val="0"/>
          <w:w w:val="100"/>
          <w:kern w:val="2"/>
          <w:sz w:val="28"/>
          <w:szCs w:val="28"/>
          <w:highlight w:val="none"/>
          <w:lang w:val="en-US" w:eastAsia="zh-CN" w:bidi="ar-SA"/>
        </w:rPr>
        <w:t>条 食堂</w:t>
      </w:r>
      <w:r>
        <w:rPr>
          <w:rStyle w:val="57"/>
          <w:rFonts w:hint="default" w:ascii="仿宋" w:hAnsi="仿宋" w:eastAsia="仿宋" w:cs="仿宋"/>
          <w:b/>
          <w:bCs/>
          <w:i w:val="0"/>
          <w:caps w:val="0"/>
          <w:spacing w:val="0"/>
          <w:w w:val="100"/>
          <w:kern w:val="2"/>
          <w:sz w:val="28"/>
          <w:szCs w:val="28"/>
          <w:highlight w:val="none"/>
          <w:lang w:val="en-US" w:eastAsia="zh-CN" w:bidi="ar-SA"/>
        </w:rPr>
        <w:t>管理</w:t>
      </w:r>
      <w:r>
        <w:rPr>
          <w:rStyle w:val="57"/>
          <w:rFonts w:hint="eastAsia" w:ascii="仿宋" w:hAnsi="仿宋" w:eastAsia="仿宋" w:cs="仿宋"/>
          <w:b/>
          <w:bCs/>
          <w:i w:val="0"/>
          <w:caps w:val="0"/>
          <w:spacing w:val="0"/>
          <w:w w:val="100"/>
          <w:kern w:val="2"/>
          <w:sz w:val="28"/>
          <w:szCs w:val="28"/>
          <w:highlight w:val="none"/>
          <w:lang w:val="en-US" w:eastAsia="zh-CN" w:bidi="ar-SA"/>
        </w:rPr>
        <w:t>服务要求</w:t>
      </w:r>
    </w:p>
    <w:p w14:paraId="616E1EC5">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2" w:firstLineChars="200"/>
        <w:jc w:val="left"/>
        <w:textAlignment w:val="baseline"/>
        <w:rPr>
          <w:rStyle w:val="57"/>
          <w:rFonts w:hint="eastAsia" w:ascii="仿宋" w:hAnsi="仿宋" w:eastAsia="仿宋" w:cs="仿宋"/>
          <w:b/>
          <w:bCs/>
          <w:i w:val="0"/>
          <w:caps w:val="0"/>
          <w:spacing w:val="0"/>
          <w:w w:val="100"/>
          <w:kern w:val="2"/>
          <w:sz w:val="28"/>
          <w:szCs w:val="28"/>
          <w:highlight w:val="none"/>
          <w:lang w:val="en-US" w:eastAsia="zh-CN" w:bidi="ar-SA"/>
        </w:rPr>
      </w:pPr>
      <w:r>
        <w:rPr>
          <w:rStyle w:val="57"/>
          <w:rFonts w:hint="eastAsia" w:ascii="仿宋" w:hAnsi="仿宋" w:eastAsia="仿宋" w:cs="仿宋"/>
          <w:b/>
          <w:bCs/>
          <w:i w:val="0"/>
          <w:caps w:val="0"/>
          <w:spacing w:val="0"/>
          <w:w w:val="100"/>
          <w:kern w:val="2"/>
          <w:sz w:val="28"/>
          <w:szCs w:val="28"/>
          <w:highlight w:val="none"/>
          <w:lang w:val="en-US" w:eastAsia="zh-CN" w:bidi="ar-SA"/>
        </w:rPr>
        <w:t>1</w:t>
      </w:r>
      <w:r>
        <w:rPr>
          <w:rStyle w:val="57"/>
          <w:rFonts w:hint="default" w:ascii="仿宋" w:hAnsi="仿宋" w:eastAsia="仿宋" w:cs="仿宋"/>
          <w:b/>
          <w:bCs/>
          <w:i w:val="0"/>
          <w:caps w:val="0"/>
          <w:spacing w:val="0"/>
          <w:w w:val="100"/>
          <w:kern w:val="2"/>
          <w:sz w:val="28"/>
          <w:szCs w:val="28"/>
          <w:highlight w:val="none"/>
          <w:lang w:val="en-US" w:eastAsia="zh-CN" w:bidi="ar-SA"/>
        </w:rPr>
        <w:t>.</w:t>
      </w:r>
      <w:r>
        <w:rPr>
          <w:rStyle w:val="57"/>
          <w:rFonts w:hint="eastAsia" w:ascii="仿宋" w:hAnsi="仿宋" w:eastAsia="仿宋" w:cs="仿宋"/>
          <w:b/>
          <w:bCs/>
          <w:i w:val="0"/>
          <w:caps w:val="0"/>
          <w:spacing w:val="0"/>
          <w:w w:val="100"/>
          <w:kern w:val="2"/>
          <w:sz w:val="28"/>
          <w:szCs w:val="28"/>
          <w:highlight w:val="none"/>
          <w:lang w:val="en-US" w:eastAsia="zh-CN" w:bidi="ar-SA"/>
        </w:rPr>
        <w:t>服务标准</w:t>
      </w:r>
    </w:p>
    <w:p w14:paraId="4D50E761">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eastAsia" w:ascii="仿宋" w:hAnsi="仿宋" w:eastAsia="仿宋" w:cs="仿宋"/>
          <w:b w:val="0"/>
          <w:i w:val="0"/>
          <w:caps w:val="0"/>
          <w:spacing w:val="0"/>
          <w:w w:val="100"/>
          <w:kern w:val="2"/>
          <w:sz w:val="28"/>
          <w:szCs w:val="28"/>
          <w:highlight w:val="none"/>
          <w:lang w:val="en-US" w:eastAsia="zh-CN" w:bidi="ar-SA"/>
        </w:rPr>
      </w:pPr>
      <w:r>
        <w:rPr>
          <w:rStyle w:val="57"/>
          <w:rFonts w:hint="eastAsia" w:ascii="仿宋" w:hAnsi="仿宋" w:eastAsia="仿宋" w:cs="仿宋"/>
          <w:b w:val="0"/>
          <w:i w:val="0"/>
          <w:caps w:val="0"/>
          <w:spacing w:val="0"/>
          <w:w w:val="100"/>
          <w:kern w:val="2"/>
          <w:sz w:val="28"/>
          <w:szCs w:val="28"/>
          <w:highlight w:val="none"/>
          <w:lang w:val="en-US" w:eastAsia="zh-CN" w:bidi="ar-SA"/>
        </w:rPr>
        <w:t>（1）保证一日三餐正点</w:t>
      </w:r>
      <w:r>
        <w:rPr>
          <w:rStyle w:val="57"/>
          <w:rFonts w:hint="default" w:ascii="仿宋" w:hAnsi="仿宋" w:eastAsia="仿宋" w:cs="仿宋"/>
          <w:b w:val="0"/>
          <w:i w:val="0"/>
          <w:caps w:val="0"/>
          <w:spacing w:val="0"/>
          <w:w w:val="100"/>
          <w:kern w:val="2"/>
          <w:sz w:val="28"/>
          <w:szCs w:val="28"/>
          <w:highlight w:val="none"/>
          <w:lang w:eastAsia="zh-CN" w:bidi="ar-SA"/>
        </w:rPr>
        <w:t>供用</w:t>
      </w:r>
      <w:r>
        <w:rPr>
          <w:rStyle w:val="57"/>
          <w:rFonts w:hint="eastAsia" w:ascii="仿宋" w:hAnsi="仿宋" w:eastAsia="仿宋" w:cs="仿宋"/>
          <w:b w:val="0"/>
          <w:i w:val="0"/>
          <w:caps w:val="0"/>
          <w:spacing w:val="0"/>
          <w:w w:val="100"/>
          <w:kern w:val="2"/>
          <w:sz w:val="28"/>
          <w:szCs w:val="28"/>
          <w:highlight w:val="none"/>
          <w:lang w:val="en-US" w:eastAsia="zh-CN" w:bidi="ar-SA"/>
        </w:rPr>
        <w:t>，如遇特殊情况，根据实际调整时间。足量、优质、做到品种多样化，能适应不同口味的</w:t>
      </w:r>
      <w:r>
        <w:rPr>
          <w:rStyle w:val="57"/>
          <w:rFonts w:hint="default" w:ascii="仿宋" w:hAnsi="仿宋" w:eastAsia="仿宋" w:cs="仿宋"/>
          <w:b w:val="0"/>
          <w:i w:val="0"/>
          <w:caps w:val="0"/>
          <w:spacing w:val="0"/>
          <w:w w:val="100"/>
          <w:kern w:val="2"/>
          <w:sz w:val="28"/>
          <w:szCs w:val="28"/>
          <w:highlight w:val="none"/>
          <w:lang w:val="en-US" w:eastAsia="zh-CN" w:bidi="ar-SA"/>
        </w:rPr>
        <w:t>职工</w:t>
      </w:r>
      <w:r>
        <w:rPr>
          <w:rStyle w:val="57"/>
          <w:rFonts w:hint="eastAsia" w:ascii="仿宋" w:hAnsi="仿宋" w:eastAsia="仿宋" w:cs="仿宋"/>
          <w:b w:val="0"/>
          <w:i w:val="0"/>
          <w:caps w:val="0"/>
          <w:spacing w:val="0"/>
          <w:w w:val="100"/>
          <w:kern w:val="2"/>
          <w:sz w:val="28"/>
          <w:szCs w:val="28"/>
          <w:highlight w:val="none"/>
          <w:lang w:val="en-US" w:eastAsia="zh-CN" w:bidi="ar-SA"/>
        </w:rPr>
        <w:t>就餐。</w:t>
      </w:r>
    </w:p>
    <w:p w14:paraId="61F7189B">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eastAsia" w:ascii="仿宋" w:hAnsi="仿宋" w:eastAsia="仿宋" w:cs="仿宋"/>
          <w:b w:val="0"/>
          <w:i w:val="0"/>
          <w:caps w:val="0"/>
          <w:spacing w:val="0"/>
          <w:w w:val="100"/>
          <w:kern w:val="2"/>
          <w:sz w:val="28"/>
          <w:szCs w:val="28"/>
          <w:highlight w:val="none"/>
          <w:lang w:val="en-US" w:eastAsia="zh-CN" w:bidi="ar-SA"/>
        </w:rPr>
      </w:pPr>
      <w:r>
        <w:rPr>
          <w:rStyle w:val="57"/>
          <w:rFonts w:hint="eastAsia" w:ascii="仿宋" w:hAnsi="仿宋" w:eastAsia="仿宋" w:cs="仿宋"/>
          <w:b w:val="0"/>
          <w:i w:val="0"/>
          <w:caps w:val="0"/>
          <w:spacing w:val="0"/>
          <w:w w:val="100"/>
          <w:kern w:val="2"/>
          <w:sz w:val="28"/>
          <w:szCs w:val="28"/>
          <w:highlight w:val="none"/>
          <w:lang w:val="en-US" w:eastAsia="zh-CN" w:bidi="ar-SA"/>
        </w:rPr>
        <w:t>（2）保证伙食质量和服务质量，</w:t>
      </w:r>
      <w:r>
        <w:rPr>
          <w:rStyle w:val="57"/>
          <w:rFonts w:hint="default" w:ascii="仿宋" w:hAnsi="仿宋" w:eastAsia="仿宋" w:cs="仿宋"/>
          <w:b w:val="0"/>
          <w:i w:val="0"/>
          <w:caps w:val="0"/>
          <w:spacing w:val="0"/>
          <w:w w:val="100"/>
          <w:kern w:val="2"/>
          <w:sz w:val="28"/>
          <w:szCs w:val="28"/>
          <w:highlight w:val="none"/>
          <w:lang w:val="en-US" w:eastAsia="zh-CN" w:bidi="ar-SA"/>
        </w:rPr>
        <w:t>职工</w:t>
      </w:r>
      <w:r>
        <w:rPr>
          <w:rStyle w:val="57"/>
          <w:rFonts w:hint="eastAsia" w:ascii="仿宋" w:hAnsi="仿宋" w:eastAsia="仿宋" w:cs="仿宋"/>
          <w:b w:val="0"/>
          <w:i w:val="0"/>
          <w:caps w:val="0"/>
          <w:spacing w:val="0"/>
          <w:w w:val="100"/>
          <w:kern w:val="2"/>
          <w:sz w:val="28"/>
          <w:szCs w:val="28"/>
          <w:highlight w:val="none"/>
          <w:lang w:val="en-US" w:eastAsia="zh-CN" w:bidi="ar-SA"/>
        </w:rPr>
        <w:t>满意度高。每周</w:t>
      </w:r>
      <w:r>
        <w:rPr>
          <w:rStyle w:val="57"/>
          <w:rFonts w:hint="default" w:ascii="仿宋" w:hAnsi="仿宋" w:eastAsia="仿宋" w:cs="仿宋"/>
          <w:b w:val="0"/>
          <w:i w:val="0"/>
          <w:caps w:val="0"/>
          <w:spacing w:val="0"/>
          <w:w w:val="100"/>
          <w:kern w:val="2"/>
          <w:sz w:val="28"/>
          <w:szCs w:val="28"/>
          <w:highlight w:val="none"/>
          <w:lang w:eastAsia="zh-CN" w:bidi="ar-SA"/>
        </w:rPr>
        <w:t>五前</w:t>
      </w:r>
      <w:r>
        <w:rPr>
          <w:rStyle w:val="57"/>
          <w:rFonts w:hint="default" w:ascii="仿宋" w:hAnsi="仿宋" w:eastAsia="仿宋" w:cs="仿宋"/>
          <w:b w:val="0"/>
          <w:i w:val="0"/>
          <w:caps w:val="0"/>
          <w:spacing w:val="0"/>
          <w:w w:val="100"/>
          <w:kern w:val="2"/>
          <w:sz w:val="28"/>
          <w:szCs w:val="28"/>
          <w:highlight w:val="none"/>
          <w:lang w:val="en-US" w:eastAsia="zh-CN" w:bidi="ar-SA"/>
        </w:rPr>
        <w:t>报送</w:t>
      </w:r>
      <w:r>
        <w:rPr>
          <w:rStyle w:val="57"/>
          <w:rFonts w:hint="eastAsia" w:ascii="仿宋" w:hAnsi="仿宋" w:eastAsia="仿宋" w:cs="仿宋"/>
          <w:b w:val="0"/>
          <w:i w:val="0"/>
          <w:caps w:val="0"/>
          <w:spacing w:val="0"/>
          <w:w w:val="100"/>
          <w:kern w:val="2"/>
          <w:sz w:val="28"/>
          <w:szCs w:val="28"/>
          <w:highlight w:val="none"/>
          <w:lang w:val="en-US" w:eastAsia="zh-CN" w:bidi="ar-SA"/>
        </w:rPr>
        <w:t>下周菜谱，就餐形式及标准包含但不限于以下内容：</w:t>
      </w:r>
    </w:p>
    <w:p w14:paraId="0CD6E926">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eastAsia" w:ascii="仿宋" w:hAnsi="仿宋" w:eastAsia="仿宋" w:cs="仿宋"/>
          <w:b w:val="0"/>
          <w:i w:val="0"/>
          <w:caps w:val="0"/>
          <w:spacing w:val="0"/>
          <w:w w:val="100"/>
          <w:kern w:val="2"/>
          <w:sz w:val="28"/>
          <w:szCs w:val="28"/>
          <w:highlight w:val="none"/>
          <w:lang w:val="en-US" w:eastAsia="zh-CN" w:bidi="ar-SA"/>
        </w:rPr>
      </w:pPr>
      <w:r>
        <w:rPr>
          <w:rStyle w:val="57"/>
          <w:rFonts w:hint="eastAsia" w:ascii="仿宋" w:hAnsi="仿宋" w:eastAsia="仿宋" w:cs="仿宋"/>
          <w:b w:val="0"/>
          <w:i w:val="0"/>
          <w:caps w:val="0"/>
          <w:spacing w:val="0"/>
          <w:w w:val="100"/>
          <w:kern w:val="2"/>
          <w:sz w:val="28"/>
          <w:szCs w:val="28"/>
          <w:highlight w:val="none"/>
          <w:lang w:val="en-US" w:eastAsia="zh-CN" w:bidi="ar-SA"/>
        </w:rPr>
        <w:t>早餐：</w:t>
      </w:r>
      <w:r>
        <w:rPr>
          <w:rStyle w:val="57"/>
          <w:rFonts w:hint="default" w:ascii="仿宋" w:hAnsi="仿宋" w:eastAsia="仿宋" w:cs="仿宋"/>
          <w:b w:val="0"/>
          <w:i w:val="0"/>
          <w:caps w:val="0"/>
          <w:spacing w:val="0"/>
          <w:w w:val="100"/>
          <w:kern w:val="2"/>
          <w:sz w:val="28"/>
          <w:szCs w:val="28"/>
          <w:highlight w:val="none"/>
          <w:lang w:eastAsia="zh-CN" w:bidi="ar-SA"/>
        </w:rPr>
        <w:t>粉或面</w:t>
      </w:r>
      <w:r>
        <w:rPr>
          <w:rStyle w:val="57"/>
          <w:rFonts w:hint="default" w:ascii="仿宋" w:hAnsi="仿宋" w:eastAsia="仿宋" w:cs="仿宋"/>
          <w:b w:val="0"/>
          <w:i w:val="0"/>
          <w:caps w:val="0"/>
          <w:spacing w:val="0"/>
          <w:w w:val="100"/>
          <w:kern w:val="2"/>
          <w:sz w:val="28"/>
          <w:szCs w:val="28"/>
          <w:highlight w:val="none"/>
          <w:lang w:val="en-US" w:eastAsia="zh-CN" w:bidi="ar-SA"/>
        </w:rPr>
        <w:t>+</w:t>
      </w:r>
      <w:r>
        <w:rPr>
          <w:rStyle w:val="57"/>
          <w:rFonts w:hint="default" w:ascii="仿宋" w:hAnsi="仿宋" w:eastAsia="仿宋" w:cs="仿宋"/>
          <w:b w:val="0"/>
          <w:i w:val="0"/>
          <w:caps w:val="0"/>
          <w:spacing w:val="0"/>
          <w:w w:val="100"/>
          <w:kern w:val="2"/>
          <w:sz w:val="28"/>
          <w:szCs w:val="28"/>
          <w:highlight w:val="none"/>
          <w:lang w:eastAsia="zh-CN" w:bidi="ar-SA"/>
        </w:rPr>
        <w:t>粗粮</w:t>
      </w:r>
      <w:r>
        <w:rPr>
          <w:rStyle w:val="57"/>
          <w:rFonts w:hint="default" w:ascii="仿宋" w:hAnsi="仿宋" w:eastAsia="仿宋" w:cs="仿宋"/>
          <w:b w:val="0"/>
          <w:i w:val="0"/>
          <w:caps w:val="0"/>
          <w:spacing w:val="0"/>
          <w:w w:val="100"/>
          <w:kern w:val="2"/>
          <w:sz w:val="28"/>
          <w:szCs w:val="28"/>
          <w:highlight w:val="none"/>
          <w:lang w:val="en-US" w:eastAsia="zh-CN" w:bidi="ar-SA"/>
        </w:rPr>
        <w:t>+</w:t>
      </w:r>
      <w:r>
        <w:rPr>
          <w:rStyle w:val="57"/>
          <w:rFonts w:hint="default" w:ascii="仿宋" w:hAnsi="仿宋" w:eastAsia="仿宋" w:cs="仿宋"/>
          <w:b w:val="0"/>
          <w:i w:val="0"/>
          <w:caps w:val="0"/>
          <w:spacing w:val="0"/>
          <w:w w:val="100"/>
          <w:kern w:val="2"/>
          <w:sz w:val="28"/>
          <w:szCs w:val="28"/>
          <w:highlight w:val="none"/>
          <w:lang w:eastAsia="zh-CN" w:bidi="ar-SA"/>
        </w:rPr>
        <w:t>粥类或</w:t>
      </w:r>
      <w:r>
        <w:rPr>
          <w:rStyle w:val="57"/>
          <w:rFonts w:hint="default" w:ascii="仿宋" w:hAnsi="仿宋" w:eastAsia="仿宋" w:cs="仿宋"/>
          <w:b w:val="0"/>
          <w:i w:val="0"/>
          <w:caps w:val="0"/>
          <w:spacing w:val="0"/>
          <w:w w:val="100"/>
          <w:kern w:val="2"/>
          <w:sz w:val="28"/>
          <w:szCs w:val="28"/>
          <w:highlight w:val="none"/>
          <w:lang w:val="en-US" w:eastAsia="zh-CN" w:bidi="ar-SA"/>
        </w:rPr>
        <w:t>豆浆+鸡蛋+</w:t>
      </w:r>
      <w:r>
        <w:rPr>
          <w:rStyle w:val="57"/>
          <w:rFonts w:hint="default" w:ascii="仿宋" w:hAnsi="仿宋" w:eastAsia="仿宋" w:cs="仿宋"/>
          <w:b w:val="0"/>
          <w:i w:val="0"/>
          <w:caps w:val="0"/>
          <w:spacing w:val="0"/>
          <w:w w:val="100"/>
          <w:kern w:val="2"/>
          <w:sz w:val="28"/>
          <w:szCs w:val="28"/>
          <w:highlight w:val="none"/>
          <w:lang w:eastAsia="zh-CN" w:bidi="ar-SA"/>
        </w:rPr>
        <w:t>牛奶</w:t>
      </w:r>
      <w:r>
        <w:rPr>
          <w:rStyle w:val="57"/>
          <w:rFonts w:hint="eastAsia" w:ascii="仿宋" w:hAnsi="仿宋" w:eastAsia="仿宋" w:cs="仿宋"/>
          <w:b w:val="0"/>
          <w:i w:val="0"/>
          <w:caps w:val="0"/>
          <w:spacing w:val="0"/>
          <w:w w:val="100"/>
          <w:kern w:val="2"/>
          <w:sz w:val="28"/>
          <w:szCs w:val="28"/>
          <w:highlight w:val="none"/>
          <w:lang w:val="en-US" w:eastAsia="zh-CN" w:bidi="ar-SA"/>
        </w:rPr>
        <w:t>；</w:t>
      </w:r>
    </w:p>
    <w:p w14:paraId="6C3AF5AF">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eastAsia" w:ascii="仿宋" w:hAnsi="仿宋" w:eastAsia="仿宋" w:cs="仿宋"/>
          <w:b w:val="0"/>
          <w:i w:val="0"/>
          <w:caps w:val="0"/>
          <w:spacing w:val="0"/>
          <w:w w:val="100"/>
          <w:kern w:val="2"/>
          <w:sz w:val="28"/>
          <w:szCs w:val="28"/>
          <w:highlight w:val="none"/>
          <w:lang w:val="en-US" w:eastAsia="zh-CN" w:bidi="ar-SA"/>
        </w:rPr>
      </w:pPr>
      <w:r>
        <w:rPr>
          <w:rStyle w:val="57"/>
          <w:rFonts w:hint="eastAsia" w:ascii="仿宋" w:hAnsi="仿宋" w:eastAsia="仿宋" w:cs="仿宋"/>
          <w:b w:val="0"/>
          <w:i w:val="0"/>
          <w:caps w:val="0"/>
          <w:spacing w:val="0"/>
          <w:w w:val="100"/>
          <w:kern w:val="2"/>
          <w:sz w:val="28"/>
          <w:szCs w:val="28"/>
          <w:highlight w:val="none"/>
          <w:lang w:val="en-US" w:eastAsia="zh-CN" w:bidi="ar-SA"/>
        </w:rPr>
        <w:t>中餐套餐：</w:t>
      </w:r>
      <w:r>
        <w:rPr>
          <w:rStyle w:val="57"/>
          <w:rFonts w:hint="default" w:ascii="仿宋" w:hAnsi="仿宋" w:eastAsia="仿宋" w:cs="仿宋"/>
          <w:b w:val="0"/>
          <w:i w:val="0"/>
          <w:caps w:val="0"/>
          <w:spacing w:val="0"/>
          <w:w w:val="100"/>
          <w:kern w:val="2"/>
          <w:sz w:val="28"/>
          <w:szCs w:val="28"/>
          <w:highlight w:val="none"/>
          <w:lang w:val="en-US" w:eastAsia="zh-CN" w:bidi="ar-SA"/>
        </w:rPr>
        <w:t>三荤+</w:t>
      </w:r>
      <w:r>
        <w:rPr>
          <w:rStyle w:val="57"/>
          <w:rFonts w:hint="default" w:ascii="仿宋" w:hAnsi="仿宋" w:eastAsia="仿宋" w:cs="仿宋"/>
          <w:b w:val="0"/>
          <w:i w:val="0"/>
          <w:caps w:val="0"/>
          <w:spacing w:val="0"/>
          <w:w w:val="100"/>
          <w:kern w:val="2"/>
          <w:sz w:val="28"/>
          <w:szCs w:val="28"/>
          <w:highlight w:val="none"/>
          <w:lang w:eastAsia="zh-CN" w:bidi="ar-SA"/>
        </w:rPr>
        <w:t>三</w:t>
      </w:r>
      <w:r>
        <w:rPr>
          <w:rStyle w:val="57"/>
          <w:rFonts w:hint="default" w:ascii="仿宋" w:hAnsi="仿宋" w:eastAsia="仿宋" w:cs="仿宋"/>
          <w:b w:val="0"/>
          <w:i w:val="0"/>
          <w:caps w:val="0"/>
          <w:spacing w:val="0"/>
          <w:w w:val="100"/>
          <w:kern w:val="2"/>
          <w:sz w:val="28"/>
          <w:szCs w:val="28"/>
          <w:highlight w:val="none"/>
          <w:lang w:val="en-US" w:eastAsia="zh-CN" w:bidi="ar-SA"/>
        </w:rPr>
        <w:t>素+汤+米饭</w:t>
      </w:r>
      <w:r>
        <w:rPr>
          <w:rStyle w:val="57"/>
          <w:rFonts w:hint="default" w:ascii="仿宋" w:hAnsi="仿宋" w:eastAsia="仿宋" w:cs="仿宋"/>
          <w:b w:val="0"/>
          <w:i w:val="0"/>
          <w:caps w:val="0"/>
          <w:spacing w:val="0"/>
          <w:w w:val="100"/>
          <w:kern w:val="2"/>
          <w:sz w:val="28"/>
          <w:szCs w:val="28"/>
          <w:highlight w:val="none"/>
          <w:lang w:eastAsia="zh-CN" w:bidi="ar-SA"/>
        </w:rPr>
        <w:t>或面食+</w:t>
      </w:r>
      <w:r>
        <w:rPr>
          <w:rStyle w:val="57"/>
          <w:rFonts w:hint="default" w:ascii="仿宋" w:hAnsi="仿宋" w:eastAsia="仿宋" w:cs="仿宋"/>
          <w:b w:val="0"/>
          <w:i w:val="0"/>
          <w:caps w:val="0"/>
          <w:spacing w:val="0"/>
          <w:w w:val="100"/>
          <w:kern w:val="2"/>
          <w:sz w:val="28"/>
          <w:szCs w:val="28"/>
          <w:highlight w:val="none"/>
          <w:lang w:val="en-US" w:eastAsia="zh-CN" w:bidi="ar-SA"/>
        </w:rPr>
        <w:t>水果</w:t>
      </w:r>
      <w:r>
        <w:rPr>
          <w:rStyle w:val="57"/>
          <w:rFonts w:hint="eastAsia" w:ascii="仿宋" w:hAnsi="仿宋" w:eastAsia="仿宋" w:cs="仿宋"/>
          <w:b w:val="0"/>
          <w:i w:val="0"/>
          <w:caps w:val="0"/>
          <w:spacing w:val="0"/>
          <w:w w:val="100"/>
          <w:kern w:val="2"/>
          <w:sz w:val="28"/>
          <w:szCs w:val="28"/>
          <w:highlight w:val="none"/>
          <w:lang w:val="en-US" w:eastAsia="zh-CN" w:bidi="ar-SA"/>
        </w:rPr>
        <w:t>；</w:t>
      </w:r>
    </w:p>
    <w:p w14:paraId="041EDEEA">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eastAsia" w:ascii="仿宋" w:hAnsi="仿宋" w:eastAsia="仿宋" w:cs="仿宋"/>
          <w:b w:val="0"/>
          <w:i w:val="0"/>
          <w:caps w:val="0"/>
          <w:spacing w:val="0"/>
          <w:w w:val="100"/>
          <w:kern w:val="2"/>
          <w:sz w:val="28"/>
          <w:szCs w:val="28"/>
          <w:highlight w:val="none"/>
          <w:lang w:val="en-US" w:eastAsia="zh-CN" w:bidi="ar-SA"/>
        </w:rPr>
      </w:pPr>
      <w:r>
        <w:rPr>
          <w:rStyle w:val="57"/>
          <w:rFonts w:hint="eastAsia" w:ascii="仿宋" w:hAnsi="仿宋" w:eastAsia="仿宋" w:cs="仿宋"/>
          <w:b w:val="0"/>
          <w:i w:val="0"/>
          <w:caps w:val="0"/>
          <w:spacing w:val="0"/>
          <w:w w:val="100"/>
          <w:kern w:val="2"/>
          <w:sz w:val="28"/>
          <w:szCs w:val="28"/>
          <w:highlight w:val="none"/>
          <w:lang w:val="en-US" w:eastAsia="zh-CN" w:bidi="ar-SA"/>
        </w:rPr>
        <w:t>晚餐套餐：</w:t>
      </w:r>
      <w:r>
        <w:rPr>
          <w:rStyle w:val="57"/>
          <w:rFonts w:hint="default" w:ascii="仿宋" w:hAnsi="仿宋" w:eastAsia="仿宋" w:cs="仿宋"/>
          <w:b w:val="0"/>
          <w:i w:val="0"/>
          <w:caps w:val="0"/>
          <w:spacing w:val="0"/>
          <w:w w:val="100"/>
          <w:kern w:val="2"/>
          <w:sz w:val="28"/>
          <w:szCs w:val="28"/>
          <w:highlight w:val="none"/>
          <w:lang w:val="en-US" w:eastAsia="zh-CN" w:bidi="ar-SA"/>
        </w:rPr>
        <w:t>三荤+</w:t>
      </w:r>
      <w:r>
        <w:rPr>
          <w:rStyle w:val="57"/>
          <w:rFonts w:hint="default" w:ascii="仿宋" w:hAnsi="仿宋" w:eastAsia="仿宋" w:cs="仿宋"/>
          <w:b w:val="0"/>
          <w:i w:val="0"/>
          <w:caps w:val="0"/>
          <w:spacing w:val="0"/>
          <w:w w:val="100"/>
          <w:kern w:val="2"/>
          <w:sz w:val="28"/>
          <w:szCs w:val="28"/>
          <w:highlight w:val="none"/>
          <w:lang w:eastAsia="zh-CN" w:bidi="ar-SA"/>
        </w:rPr>
        <w:t>三</w:t>
      </w:r>
      <w:r>
        <w:rPr>
          <w:rStyle w:val="57"/>
          <w:rFonts w:hint="default" w:ascii="仿宋" w:hAnsi="仿宋" w:eastAsia="仿宋" w:cs="仿宋"/>
          <w:b w:val="0"/>
          <w:i w:val="0"/>
          <w:caps w:val="0"/>
          <w:spacing w:val="0"/>
          <w:w w:val="100"/>
          <w:kern w:val="2"/>
          <w:sz w:val="28"/>
          <w:szCs w:val="28"/>
          <w:highlight w:val="none"/>
          <w:lang w:val="en-US" w:eastAsia="zh-CN" w:bidi="ar-SA"/>
        </w:rPr>
        <w:t>素+汤+米饭</w:t>
      </w:r>
      <w:r>
        <w:rPr>
          <w:rStyle w:val="57"/>
          <w:rFonts w:hint="default" w:ascii="仿宋" w:hAnsi="仿宋" w:eastAsia="仿宋" w:cs="仿宋"/>
          <w:b w:val="0"/>
          <w:i w:val="0"/>
          <w:caps w:val="0"/>
          <w:spacing w:val="0"/>
          <w:w w:val="100"/>
          <w:kern w:val="2"/>
          <w:sz w:val="28"/>
          <w:szCs w:val="28"/>
          <w:highlight w:val="none"/>
          <w:lang w:eastAsia="zh-CN" w:bidi="ar-SA"/>
        </w:rPr>
        <w:t>或面食+</w:t>
      </w:r>
      <w:r>
        <w:rPr>
          <w:rStyle w:val="57"/>
          <w:rFonts w:hint="default" w:ascii="仿宋" w:hAnsi="仿宋" w:eastAsia="仿宋" w:cs="仿宋"/>
          <w:b w:val="0"/>
          <w:i w:val="0"/>
          <w:caps w:val="0"/>
          <w:spacing w:val="0"/>
          <w:w w:val="100"/>
          <w:kern w:val="2"/>
          <w:sz w:val="28"/>
          <w:szCs w:val="28"/>
          <w:highlight w:val="none"/>
          <w:lang w:val="en-US" w:eastAsia="zh-CN" w:bidi="ar-SA"/>
        </w:rPr>
        <w:t>水果</w:t>
      </w:r>
      <w:r>
        <w:rPr>
          <w:rStyle w:val="57"/>
          <w:rFonts w:hint="eastAsia" w:ascii="仿宋" w:hAnsi="仿宋" w:eastAsia="仿宋" w:cs="仿宋"/>
          <w:b w:val="0"/>
          <w:i w:val="0"/>
          <w:caps w:val="0"/>
          <w:spacing w:val="0"/>
          <w:w w:val="100"/>
          <w:kern w:val="2"/>
          <w:sz w:val="28"/>
          <w:szCs w:val="28"/>
          <w:highlight w:val="none"/>
          <w:lang w:val="en-US" w:eastAsia="zh-CN" w:bidi="ar-SA"/>
        </w:rPr>
        <w:t>。</w:t>
      </w:r>
    </w:p>
    <w:p w14:paraId="67D30D5A">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eastAsia" w:ascii="仿宋" w:hAnsi="仿宋" w:eastAsia="仿宋" w:cs="仿宋"/>
          <w:b w:val="0"/>
          <w:i w:val="0"/>
          <w:caps w:val="0"/>
          <w:spacing w:val="0"/>
          <w:w w:val="100"/>
          <w:kern w:val="2"/>
          <w:sz w:val="28"/>
          <w:szCs w:val="28"/>
          <w:highlight w:val="none"/>
          <w:lang w:val="en-US" w:eastAsia="zh-CN" w:bidi="ar-SA"/>
        </w:rPr>
      </w:pPr>
      <w:r>
        <w:rPr>
          <w:rStyle w:val="57"/>
          <w:rFonts w:hint="eastAsia" w:ascii="仿宋" w:hAnsi="仿宋" w:eastAsia="仿宋" w:cs="仿宋"/>
          <w:b w:val="0"/>
          <w:i w:val="0"/>
          <w:caps w:val="0"/>
          <w:spacing w:val="0"/>
          <w:w w:val="100"/>
          <w:kern w:val="2"/>
          <w:sz w:val="28"/>
          <w:szCs w:val="28"/>
          <w:highlight w:val="none"/>
          <w:lang w:val="en-US" w:eastAsia="zh-CN" w:bidi="ar-SA"/>
        </w:rPr>
        <w:t>供餐食品搭配供应，就餐者自愿选择，讲究营养、卫生和健康饮食，合理安排食谱，按季节不断调换菜式品种。</w:t>
      </w:r>
    </w:p>
    <w:p w14:paraId="5C0904F5">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eastAsia" w:ascii="仿宋" w:hAnsi="仿宋" w:eastAsia="仿宋" w:cs="仿宋"/>
          <w:b w:val="0"/>
          <w:i w:val="0"/>
          <w:caps w:val="0"/>
          <w:spacing w:val="0"/>
          <w:w w:val="100"/>
          <w:kern w:val="2"/>
          <w:sz w:val="28"/>
          <w:szCs w:val="28"/>
          <w:highlight w:val="none"/>
          <w:lang w:val="en-US" w:eastAsia="zh-CN" w:bidi="ar-SA"/>
        </w:rPr>
      </w:pPr>
      <w:r>
        <w:rPr>
          <w:rStyle w:val="57"/>
          <w:rFonts w:hint="eastAsia" w:ascii="仿宋" w:hAnsi="仿宋" w:eastAsia="仿宋" w:cs="仿宋"/>
          <w:b w:val="0"/>
          <w:i w:val="0"/>
          <w:caps w:val="0"/>
          <w:spacing w:val="0"/>
          <w:w w:val="100"/>
          <w:kern w:val="2"/>
          <w:sz w:val="28"/>
          <w:szCs w:val="28"/>
          <w:highlight w:val="none"/>
          <w:lang w:val="en-US" w:eastAsia="zh-CN" w:bidi="ar-SA"/>
        </w:rPr>
        <w:t>（3）全年</w:t>
      </w:r>
      <w:r>
        <w:rPr>
          <w:rStyle w:val="57"/>
          <w:rFonts w:hint="default" w:ascii="仿宋" w:hAnsi="仿宋" w:eastAsia="仿宋" w:cs="仿宋"/>
          <w:b w:val="0"/>
          <w:i w:val="0"/>
          <w:caps w:val="0"/>
          <w:spacing w:val="0"/>
          <w:w w:val="100"/>
          <w:kern w:val="2"/>
          <w:sz w:val="28"/>
          <w:szCs w:val="28"/>
          <w:highlight w:val="none"/>
          <w:lang w:val="en-US" w:eastAsia="zh-CN" w:bidi="ar-SA"/>
        </w:rPr>
        <w:t>工作日</w:t>
      </w:r>
      <w:r>
        <w:rPr>
          <w:rStyle w:val="57"/>
          <w:rFonts w:hint="eastAsia" w:ascii="仿宋" w:hAnsi="仿宋" w:eastAsia="仿宋" w:cs="仿宋"/>
          <w:b w:val="0"/>
          <w:i w:val="0"/>
          <w:caps w:val="0"/>
          <w:spacing w:val="0"/>
          <w:w w:val="100"/>
          <w:kern w:val="2"/>
          <w:sz w:val="28"/>
          <w:szCs w:val="28"/>
          <w:highlight w:val="none"/>
          <w:lang w:val="en-US" w:eastAsia="zh-CN" w:bidi="ar-SA"/>
        </w:rPr>
        <w:t>不间断供餐，</w:t>
      </w:r>
      <w:r>
        <w:rPr>
          <w:rStyle w:val="57"/>
          <w:rFonts w:hint="default" w:ascii="仿宋" w:hAnsi="仿宋" w:eastAsia="仿宋" w:cs="仿宋"/>
          <w:b w:val="0"/>
          <w:i w:val="0"/>
          <w:caps w:val="0"/>
          <w:spacing w:val="0"/>
          <w:w w:val="100"/>
          <w:kern w:val="2"/>
          <w:sz w:val="28"/>
          <w:szCs w:val="28"/>
          <w:highlight w:val="none"/>
          <w:lang w:val="en-US" w:eastAsia="zh-CN" w:bidi="ar-SA"/>
        </w:rPr>
        <w:t>如</w:t>
      </w:r>
      <w:r>
        <w:rPr>
          <w:rStyle w:val="57"/>
          <w:rFonts w:hint="eastAsia" w:ascii="仿宋" w:hAnsi="仿宋" w:eastAsia="仿宋" w:cs="仿宋"/>
          <w:b w:val="0"/>
          <w:i w:val="0"/>
          <w:caps w:val="0"/>
          <w:spacing w:val="0"/>
          <w:w w:val="100"/>
          <w:kern w:val="2"/>
          <w:sz w:val="28"/>
          <w:szCs w:val="28"/>
          <w:highlight w:val="none"/>
          <w:lang w:val="en-US" w:eastAsia="zh-CN" w:bidi="ar-SA"/>
        </w:rPr>
        <w:t>遇法定节假</w:t>
      </w:r>
      <w:r>
        <w:rPr>
          <w:rStyle w:val="57"/>
          <w:rFonts w:hint="default" w:ascii="仿宋" w:hAnsi="仿宋" w:eastAsia="仿宋" w:cs="仿宋"/>
          <w:b w:val="0"/>
          <w:i w:val="0"/>
          <w:caps w:val="0"/>
          <w:spacing w:val="0"/>
          <w:w w:val="100"/>
          <w:kern w:val="2"/>
          <w:sz w:val="28"/>
          <w:szCs w:val="28"/>
          <w:highlight w:val="none"/>
          <w:lang w:val="en-US" w:eastAsia="zh-CN" w:bidi="ar-SA"/>
        </w:rPr>
        <w:t>日</w:t>
      </w:r>
      <w:r>
        <w:rPr>
          <w:rStyle w:val="57"/>
          <w:rFonts w:hint="eastAsia" w:ascii="仿宋" w:hAnsi="仿宋" w:eastAsia="仿宋" w:cs="仿宋"/>
          <w:b w:val="0"/>
          <w:i w:val="0"/>
          <w:caps w:val="0"/>
          <w:spacing w:val="0"/>
          <w:w w:val="100"/>
          <w:kern w:val="2"/>
          <w:sz w:val="28"/>
          <w:szCs w:val="28"/>
          <w:highlight w:val="none"/>
          <w:lang w:val="en-US" w:eastAsia="zh-CN" w:bidi="ar-SA"/>
        </w:rPr>
        <w:t>和</w:t>
      </w:r>
      <w:r>
        <w:rPr>
          <w:rStyle w:val="57"/>
          <w:rFonts w:hint="default" w:ascii="仿宋" w:hAnsi="仿宋" w:eastAsia="仿宋" w:cs="仿宋"/>
          <w:b w:val="0"/>
          <w:i w:val="0"/>
          <w:caps w:val="0"/>
          <w:spacing w:val="0"/>
          <w:w w:val="100"/>
          <w:kern w:val="2"/>
          <w:sz w:val="28"/>
          <w:szCs w:val="28"/>
          <w:highlight w:val="none"/>
          <w:lang w:val="en-US" w:eastAsia="zh-CN" w:bidi="ar-SA"/>
        </w:rPr>
        <w:t>双休日需用餐的</w:t>
      </w:r>
      <w:r>
        <w:rPr>
          <w:rStyle w:val="57"/>
          <w:rFonts w:hint="eastAsia" w:ascii="仿宋" w:hAnsi="仿宋" w:eastAsia="仿宋" w:cs="仿宋"/>
          <w:b w:val="0"/>
          <w:i w:val="0"/>
          <w:caps w:val="0"/>
          <w:spacing w:val="0"/>
          <w:w w:val="100"/>
          <w:kern w:val="2"/>
          <w:sz w:val="28"/>
          <w:szCs w:val="28"/>
          <w:highlight w:val="none"/>
          <w:lang w:val="en-US" w:eastAsia="zh-CN" w:bidi="ar-SA"/>
        </w:rPr>
        <w:t>，</w:t>
      </w:r>
      <w:r>
        <w:rPr>
          <w:rStyle w:val="57"/>
          <w:rFonts w:hint="default" w:ascii="仿宋" w:hAnsi="仿宋" w:eastAsia="仿宋" w:cs="仿宋"/>
          <w:b w:val="0"/>
          <w:i w:val="0"/>
          <w:caps w:val="0"/>
          <w:spacing w:val="0"/>
          <w:w w:val="100"/>
          <w:kern w:val="2"/>
          <w:sz w:val="28"/>
          <w:szCs w:val="28"/>
          <w:highlight w:val="none"/>
          <w:lang w:val="en-US" w:eastAsia="zh-CN" w:bidi="ar-SA"/>
        </w:rPr>
        <w:t>乙方</w:t>
      </w:r>
      <w:r>
        <w:rPr>
          <w:rStyle w:val="57"/>
          <w:rFonts w:hint="eastAsia" w:ascii="仿宋" w:hAnsi="仿宋" w:eastAsia="仿宋" w:cs="仿宋"/>
          <w:b w:val="0"/>
          <w:i w:val="0"/>
          <w:caps w:val="0"/>
          <w:spacing w:val="0"/>
          <w:w w:val="100"/>
          <w:kern w:val="2"/>
          <w:sz w:val="28"/>
          <w:szCs w:val="28"/>
          <w:highlight w:val="none"/>
          <w:lang w:val="en-US" w:eastAsia="zh-CN" w:bidi="ar-SA"/>
        </w:rPr>
        <w:t>需根据要求提供配套餐饮服务。乙方须对各种特殊情况做出预估，并制定相关应急预案。</w:t>
      </w:r>
    </w:p>
    <w:p w14:paraId="38F2C7D1">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eastAsia" w:ascii="仿宋" w:hAnsi="仿宋" w:eastAsia="仿宋" w:cs="仿宋"/>
          <w:b w:val="0"/>
          <w:i w:val="0"/>
          <w:caps w:val="0"/>
          <w:spacing w:val="0"/>
          <w:w w:val="100"/>
          <w:kern w:val="2"/>
          <w:sz w:val="28"/>
          <w:szCs w:val="28"/>
          <w:highlight w:val="none"/>
          <w:lang w:val="en-US" w:eastAsia="zh-CN" w:bidi="ar-SA"/>
        </w:rPr>
      </w:pPr>
      <w:r>
        <w:rPr>
          <w:rStyle w:val="57"/>
          <w:rFonts w:hint="eastAsia" w:ascii="仿宋" w:hAnsi="仿宋" w:eastAsia="仿宋" w:cs="仿宋"/>
          <w:b w:val="0"/>
          <w:i w:val="0"/>
          <w:caps w:val="0"/>
          <w:spacing w:val="0"/>
          <w:w w:val="100"/>
          <w:kern w:val="2"/>
          <w:sz w:val="28"/>
          <w:szCs w:val="28"/>
          <w:highlight w:val="none"/>
          <w:lang w:val="en-US" w:eastAsia="zh-CN" w:bidi="ar-SA"/>
        </w:rPr>
        <w:t>（4）建立健全食堂各项管理制度，积极配合甲方的各项检查工作。甲方定期对食堂伙食质量、价格、卫生、安全、财务和服务等进行检查、监督，定期组织</w:t>
      </w:r>
      <w:r>
        <w:rPr>
          <w:rStyle w:val="57"/>
          <w:rFonts w:hint="default" w:ascii="仿宋" w:hAnsi="仿宋" w:eastAsia="仿宋" w:cs="仿宋"/>
          <w:b w:val="0"/>
          <w:i w:val="0"/>
          <w:caps w:val="0"/>
          <w:spacing w:val="0"/>
          <w:w w:val="100"/>
          <w:kern w:val="2"/>
          <w:sz w:val="28"/>
          <w:szCs w:val="28"/>
          <w:highlight w:val="none"/>
          <w:lang w:eastAsia="zh-CN" w:bidi="ar-SA"/>
        </w:rPr>
        <w:t>评价</w:t>
      </w:r>
      <w:r>
        <w:rPr>
          <w:rStyle w:val="57"/>
          <w:rFonts w:hint="eastAsia" w:ascii="仿宋" w:hAnsi="仿宋" w:eastAsia="仿宋" w:cs="仿宋"/>
          <w:b w:val="0"/>
          <w:i w:val="0"/>
          <w:caps w:val="0"/>
          <w:spacing w:val="0"/>
          <w:w w:val="100"/>
          <w:kern w:val="2"/>
          <w:sz w:val="28"/>
          <w:szCs w:val="28"/>
          <w:highlight w:val="none"/>
          <w:lang w:val="en-US" w:eastAsia="zh-CN" w:bidi="ar-SA"/>
        </w:rPr>
        <w:t>。</w:t>
      </w:r>
    </w:p>
    <w:p w14:paraId="3934F168">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2" w:firstLineChars="200"/>
        <w:jc w:val="left"/>
        <w:textAlignment w:val="baseline"/>
        <w:rPr>
          <w:rStyle w:val="57"/>
          <w:rFonts w:hint="eastAsia" w:ascii="仿宋" w:hAnsi="仿宋" w:eastAsia="仿宋" w:cs="仿宋"/>
          <w:b/>
          <w:bCs/>
          <w:i w:val="0"/>
          <w:caps w:val="0"/>
          <w:spacing w:val="0"/>
          <w:w w:val="100"/>
          <w:kern w:val="2"/>
          <w:sz w:val="28"/>
          <w:szCs w:val="28"/>
          <w:highlight w:val="none"/>
          <w:lang w:val="en-US" w:eastAsia="zh-CN" w:bidi="ar-SA"/>
        </w:rPr>
      </w:pPr>
      <w:r>
        <w:rPr>
          <w:rStyle w:val="57"/>
          <w:rFonts w:hint="eastAsia" w:ascii="仿宋" w:hAnsi="仿宋" w:eastAsia="仿宋" w:cs="仿宋"/>
          <w:b/>
          <w:bCs/>
          <w:i w:val="0"/>
          <w:caps w:val="0"/>
          <w:spacing w:val="0"/>
          <w:w w:val="100"/>
          <w:kern w:val="2"/>
          <w:sz w:val="28"/>
          <w:szCs w:val="28"/>
          <w:highlight w:val="none"/>
          <w:lang w:val="en-US" w:eastAsia="zh-CN" w:bidi="ar-SA"/>
        </w:rPr>
        <w:t>2</w:t>
      </w:r>
      <w:r>
        <w:rPr>
          <w:rStyle w:val="57"/>
          <w:rFonts w:hint="default" w:ascii="仿宋" w:hAnsi="仿宋" w:eastAsia="仿宋" w:cs="仿宋"/>
          <w:b/>
          <w:bCs/>
          <w:i w:val="0"/>
          <w:caps w:val="0"/>
          <w:spacing w:val="0"/>
          <w:w w:val="100"/>
          <w:kern w:val="2"/>
          <w:sz w:val="28"/>
          <w:szCs w:val="28"/>
          <w:highlight w:val="none"/>
          <w:lang w:eastAsia="zh-CN" w:bidi="ar-SA"/>
        </w:rPr>
        <w:t>.</w:t>
      </w:r>
      <w:r>
        <w:rPr>
          <w:rStyle w:val="57"/>
          <w:rFonts w:hint="eastAsia" w:ascii="仿宋" w:hAnsi="仿宋" w:eastAsia="仿宋" w:cs="仿宋"/>
          <w:b/>
          <w:bCs/>
          <w:i w:val="0"/>
          <w:caps w:val="0"/>
          <w:spacing w:val="0"/>
          <w:w w:val="100"/>
          <w:kern w:val="2"/>
          <w:sz w:val="28"/>
          <w:szCs w:val="28"/>
          <w:highlight w:val="none"/>
          <w:lang w:val="en-US" w:eastAsia="zh-CN" w:bidi="ar-SA"/>
        </w:rPr>
        <w:t>食品卫生安全工作要求</w:t>
      </w:r>
    </w:p>
    <w:p w14:paraId="4E946125">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default" w:ascii="仿宋" w:hAnsi="仿宋" w:eastAsia="仿宋" w:cs="仿宋"/>
          <w:b w:val="0"/>
          <w:i w:val="0"/>
          <w:caps w:val="0"/>
          <w:spacing w:val="0"/>
          <w:w w:val="100"/>
          <w:kern w:val="2"/>
          <w:sz w:val="28"/>
          <w:szCs w:val="28"/>
          <w:highlight w:val="none"/>
          <w:lang w:eastAsia="zh-CN" w:bidi="ar-SA"/>
        </w:rPr>
      </w:pPr>
      <w:r>
        <w:rPr>
          <w:rStyle w:val="57"/>
          <w:rFonts w:hint="default" w:ascii="仿宋" w:hAnsi="仿宋" w:eastAsia="仿宋" w:cs="仿宋"/>
          <w:b w:val="0"/>
          <w:i w:val="0"/>
          <w:caps w:val="0"/>
          <w:spacing w:val="0"/>
          <w:w w:val="100"/>
          <w:kern w:val="2"/>
          <w:sz w:val="28"/>
          <w:szCs w:val="28"/>
          <w:highlight w:val="none"/>
          <w:lang w:eastAsia="zh-CN" w:bidi="ar-SA"/>
        </w:rPr>
        <w:t>2.1整个食堂的卫生防疫、就餐环境、安全标准等必须达到国家相关部门制定的法律法规和规范标准，甲方有权监督并定时检查，乙方应虚心听取意见，采取措施及时解决相应问题，问题整改不及时的，乙方应支付违约金，每次违约金金额为500元。因乙方的管理不善造成事故食物中毒或其他食品安全问题，由乙方负全部责任，甲方有权就乙方提供的履约银行保函主张索赔并直接解除合同。</w:t>
      </w:r>
    </w:p>
    <w:p w14:paraId="730112FF">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default" w:ascii="仿宋" w:hAnsi="仿宋" w:eastAsia="仿宋" w:cs="仿宋"/>
          <w:b w:val="0"/>
          <w:i w:val="0"/>
          <w:caps w:val="0"/>
          <w:spacing w:val="0"/>
          <w:w w:val="100"/>
          <w:kern w:val="2"/>
          <w:sz w:val="28"/>
          <w:szCs w:val="28"/>
          <w:highlight w:val="none"/>
          <w:lang w:eastAsia="zh-CN" w:bidi="ar-SA"/>
        </w:rPr>
      </w:pPr>
      <w:r>
        <w:rPr>
          <w:rStyle w:val="57"/>
          <w:rFonts w:hint="default" w:ascii="仿宋" w:hAnsi="仿宋" w:eastAsia="仿宋" w:cs="仿宋"/>
          <w:b w:val="0"/>
          <w:i w:val="0"/>
          <w:caps w:val="0"/>
          <w:spacing w:val="0"/>
          <w:w w:val="100"/>
          <w:kern w:val="2"/>
          <w:sz w:val="28"/>
          <w:szCs w:val="28"/>
          <w:highlight w:val="none"/>
          <w:lang w:eastAsia="zh-CN" w:bidi="ar-SA"/>
        </w:rPr>
        <w:t>2.2对配送的食材需要及时进行检查验收，对食材的配送单据应保存完整确保所使用的原材料必须新鲜、品质好。每日对餐具进行高温消毒。</w:t>
      </w:r>
    </w:p>
    <w:p w14:paraId="50CB5947">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eastAsia" w:ascii="仿宋" w:hAnsi="仿宋" w:eastAsia="仿宋" w:cs="仿宋"/>
          <w:b w:val="0"/>
          <w:i w:val="0"/>
          <w:caps w:val="0"/>
          <w:spacing w:val="0"/>
          <w:w w:val="100"/>
          <w:kern w:val="2"/>
          <w:sz w:val="28"/>
          <w:szCs w:val="28"/>
          <w:highlight w:val="none"/>
          <w:lang w:val="en-US" w:eastAsia="zh-CN" w:bidi="ar-SA"/>
        </w:rPr>
      </w:pPr>
      <w:r>
        <w:rPr>
          <w:rStyle w:val="57"/>
          <w:rFonts w:hint="default" w:ascii="仿宋" w:hAnsi="仿宋" w:eastAsia="仿宋" w:cs="仿宋"/>
          <w:b w:val="0"/>
          <w:i w:val="0"/>
          <w:caps w:val="0"/>
          <w:spacing w:val="0"/>
          <w:w w:val="100"/>
          <w:kern w:val="2"/>
          <w:sz w:val="28"/>
          <w:szCs w:val="28"/>
          <w:highlight w:val="none"/>
          <w:lang w:eastAsia="zh-CN" w:bidi="ar-SA"/>
        </w:rPr>
        <w:t>2.3</w:t>
      </w:r>
      <w:r>
        <w:rPr>
          <w:rStyle w:val="57"/>
          <w:rFonts w:hint="eastAsia" w:ascii="仿宋" w:hAnsi="仿宋" w:eastAsia="仿宋" w:cs="仿宋"/>
          <w:b w:val="0"/>
          <w:i w:val="0"/>
          <w:caps w:val="0"/>
          <w:spacing w:val="0"/>
          <w:w w:val="100"/>
          <w:kern w:val="2"/>
          <w:sz w:val="28"/>
          <w:szCs w:val="28"/>
          <w:highlight w:val="none"/>
          <w:lang w:val="en-US" w:eastAsia="zh-CN" w:bidi="ar-SA"/>
        </w:rPr>
        <w:t>每天工作完毕后，及时清理厨房现场，垃圾分类。将生产用具、炉灶台、工作台、工作柜、清洗干净，不能有污渍。</w:t>
      </w:r>
    </w:p>
    <w:p w14:paraId="47FC4695">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default" w:ascii="仿宋" w:hAnsi="仿宋" w:eastAsia="仿宋" w:cs="仿宋"/>
          <w:b w:val="0"/>
          <w:i w:val="0"/>
          <w:caps w:val="0"/>
          <w:spacing w:val="0"/>
          <w:w w:val="100"/>
          <w:kern w:val="2"/>
          <w:sz w:val="28"/>
          <w:szCs w:val="28"/>
          <w:highlight w:val="none"/>
          <w:lang w:eastAsia="zh-CN" w:bidi="ar-SA"/>
        </w:rPr>
      </w:pPr>
      <w:r>
        <w:rPr>
          <w:rStyle w:val="57"/>
          <w:rFonts w:hint="default" w:ascii="仿宋" w:hAnsi="仿宋" w:eastAsia="仿宋" w:cs="仿宋"/>
          <w:b w:val="0"/>
          <w:i w:val="0"/>
          <w:caps w:val="0"/>
          <w:spacing w:val="0"/>
          <w:w w:val="100"/>
          <w:kern w:val="2"/>
          <w:sz w:val="28"/>
          <w:szCs w:val="28"/>
          <w:highlight w:val="none"/>
          <w:lang w:eastAsia="zh-CN" w:bidi="ar-SA"/>
        </w:rPr>
        <w:t>2.4</w:t>
      </w:r>
      <w:r>
        <w:rPr>
          <w:rStyle w:val="57"/>
          <w:rFonts w:hint="eastAsia" w:ascii="仿宋" w:hAnsi="仿宋" w:eastAsia="仿宋" w:cs="仿宋"/>
          <w:b w:val="0"/>
          <w:i w:val="0"/>
          <w:caps w:val="0"/>
          <w:spacing w:val="0"/>
          <w:w w:val="100"/>
          <w:kern w:val="2"/>
          <w:sz w:val="28"/>
          <w:szCs w:val="28"/>
          <w:highlight w:val="none"/>
          <w:lang w:val="en-US" w:eastAsia="zh-CN" w:bidi="ar-SA"/>
        </w:rPr>
        <w:t>乙方必须遵守国家、行业关于食品卫生安全的相关法律、法规，确保饮食安全；落实每餐饭菜留样制度（留样时间不少于</w:t>
      </w:r>
      <w:r>
        <w:rPr>
          <w:rStyle w:val="57"/>
          <w:rFonts w:hint="default" w:ascii="仿宋" w:hAnsi="仿宋" w:eastAsia="仿宋" w:cs="仿宋"/>
          <w:b w:val="0"/>
          <w:i w:val="0"/>
          <w:caps w:val="0"/>
          <w:spacing w:val="0"/>
          <w:w w:val="100"/>
          <w:kern w:val="2"/>
          <w:sz w:val="28"/>
          <w:szCs w:val="28"/>
          <w:highlight w:val="none"/>
          <w:lang w:eastAsia="zh-CN" w:bidi="ar-SA"/>
        </w:rPr>
        <w:t>48</w:t>
      </w:r>
      <w:r>
        <w:rPr>
          <w:rStyle w:val="57"/>
          <w:rFonts w:hint="eastAsia" w:ascii="仿宋" w:hAnsi="仿宋" w:eastAsia="仿宋" w:cs="仿宋"/>
          <w:b w:val="0"/>
          <w:i w:val="0"/>
          <w:caps w:val="0"/>
          <w:spacing w:val="0"/>
          <w:w w:val="100"/>
          <w:kern w:val="2"/>
          <w:sz w:val="28"/>
          <w:szCs w:val="28"/>
          <w:highlight w:val="none"/>
          <w:lang w:val="en-US" w:eastAsia="zh-CN" w:bidi="ar-SA"/>
        </w:rPr>
        <w:t>小时）</w:t>
      </w:r>
      <w:r>
        <w:rPr>
          <w:rStyle w:val="57"/>
          <w:rFonts w:hint="default" w:ascii="仿宋" w:hAnsi="仿宋" w:eastAsia="仿宋" w:cs="仿宋"/>
          <w:b w:val="0"/>
          <w:i w:val="0"/>
          <w:caps w:val="0"/>
          <w:spacing w:val="0"/>
          <w:w w:val="100"/>
          <w:kern w:val="2"/>
          <w:sz w:val="28"/>
          <w:szCs w:val="28"/>
          <w:highlight w:val="none"/>
          <w:lang w:eastAsia="zh-CN" w:bidi="ar-SA"/>
        </w:rPr>
        <w:t>。</w:t>
      </w:r>
    </w:p>
    <w:p w14:paraId="6F6957CD">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eastAsia" w:ascii="仿宋" w:hAnsi="仿宋" w:eastAsia="仿宋" w:cs="仿宋"/>
          <w:b w:val="0"/>
          <w:i w:val="0"/>
          <w:caps w:val="0"/>
          <w:spacing w:val="0"/>
          <w:w w:val="100"/>
          <w:kern w:val="2"/>
          <w:sz w:val="28"/>
          <w:szCs w:val="28"/>
          <w:highlight w:val="none"/>
          <w:lang w:val="en-US" w:eastAsia="zh-CN" w:bidi="ar-SA"/>
        </w:rPr>
      </w:pPr>
      <w:r>
        <w:rPr>
          <w:rStyle w:val="57"/>
          <w:rFonts w:hint="default" w:ascii="仿宋" w:hAnsi="仿宋" w:eastAsia="仿宋" w:cs="仿宋"/>
          <w:b w:val="0"/>
          <w:i w:val="0"/>
          <w:caps w:val="0"/>
          <w:spacing w:val="0"/>
          <w:w w:val="100"/>
          <w:kern w:val="2"/>
          <w:sz w:val="28"/>
          <w:szCs w:val="28"/>
          <w:highlight w:val="none"/>
          <w:lang w:eastAsia="zh-CN" w:bidi="ar-SA"/>
        </w:rPr>
        <w:t>2.5</w:t>
      </w:r>
      <w:r>
        <w:rPr>
          <w:rStyle w:val="57"/>
          <w:rFonts w:hint="eastAsia" w:ascii="仿宋" w:hAnsi="仿宋" w:eastAsia="仿宋" w:cs="仿宋"/>
          <w:b w:val="0"/>
          <w:i w:val="0"/>
          <w:caps w:val="0"/>
          <w:spacing w:val="0"/>
          <w:w w:val="100"/>
          <w:kern w:val="2"/>
          <w:sz w:val="28"/>
          <w:szCs w:val="28"/>
          <w:highlight w:val="none"/>
          <w:lang w:val="en-US" w:eastAsia="zh-CN" w:bidi="ar-SA"/>
        </w:rPr>
        <w:t>严格控制对豆糕类、豆腐、四季豆、蘑菇等食品的采购和制作关。要科学、合理地贮存食品。食品贮存应当分类、分架、隔墙、离地存放，食品贮存场所禁止存放有毒、有害物品及个人生活物品。</w:t>
      </w:r>
    </w:p>
    <w:p w14:paraId="42CB79EF">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2" w:firstLineChars="200"/>
        <w:jc w:val="left"/>
        <w:textAlignment w:val="baseline"/>
        <w:rPr>
          <w:rStyle w:val="57"/>
          <w:rFonts w:hint="default" w:ascii="仿宋" w:hAnsi="仿宋" w:eastAsia="仿宋" w:cs="仿宋"/>
          <w:b/>
          <w:bCs/>
          <w:i w:val="0"/>
          <w:caps w:val="0"/>
          <w:spacing w:val="0"/>
          <w:w w:val="100"/>
          <w:kern w:val="2"/>
          <w:sz w:val="28"/>
          <w:szCs w:val="28"/>
          <w:highlight w:val="none"/>
          <w:lang w:eastAsia="zh-CN" w:bidi="ar-SA"/>
        </w:rPr>
      </w:pPr>
      <w:r>
        <w:rPr>
          <w:rStyle w:val="57"/>
          <w:rFonts w:hint="default" w:ascii="仿宋" w:hAnsi="仿宋" w:eastAsia="仿宋" w:cs="仿宋"/>
          <w:b/>
          <w:bCs/>
          <w:i w:val="0"/>
          <w:caps w:val="0"/>
          <w:spacing w:val="0"/>
          <w:w w:val="100"/>
          <w:kern w:val="2"/>
          <w:sz w:val="28"/>
          <w:szCs w:val="28"/>
          <w:highlight w:val="none"/>
          <w:lang w:eastAsia="zh-CN" w:bidi="ar-SA"/>
        </w:rPr>
        <w:t>3.人员要求</w:t>
      </w:r>
    </w:p>
    <w:p w14:paraId="34293814">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default" w:ascii="仿宋" w:hAnsi="仿宋" w:eastAsia="仿宋" w:cs="仿宋"/>
          <w:b w:val="0"/>
          <w:i w:val="0"/>
          <w:caps w:val="0"/>
          <w:spacing w:val="0"/>
          <w:w w:val="100"/>
          <w:kern w:val="2"/>
          <w:sz w:val="28"/>
          <w:szCs w:val="28"/>
          <w:highlight w:val="none"/>
          <w:lang w:eastAsia="zh-CN" w:bidi="ar-SA"/>
        </w:rPr>
      </w:pPr>
      <w:r>
        <w:rPr>
          <w:rStyle w:val="57"/>
          <w:rFonts w:hint="default" w:ascii="仿宋" w:hAnsi="仿宋" w:eastAsia="仿宋" w:cs="仿宋"/>
          <w:b w:val="0"/>
          <w:i w:val="0"/>
          <w:caps w:val="0"/>
          <w:spacing w:val="0"/>
          <w:w w:val="100"/>
          <w:kern w:val="2"/>
          <w:sz w:val="28"/>
          <w:szCs w:val="28"/>
          <w:highlight w:val="none"/>
          <w:lang w:eastAsia="zh-CN" w:bidi="ar-SA"/>
        </w:rPr>
        <w:t>3.1所有拟派驻人员均要求品德好、形象端正、身体健康(所有派驻人员需具备由有资质卫生医疗机构出具的有效健康证，办证费用由乙方承担；所有食堂工作人员需穿着卫生制服，费用由乙方承担）、服务意识强。</w:t>
      </w:r>
    </w:p>
    <w:p w14:paraId="5412F5AE">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default" w:ascii="仿宋" w:hAnsi="仿宋" w:eastAsia="仿宋" w:cs="仿宋"/>
          <w:b w:val="0"/>
          <w:i w:val="0"/>
          <w:caps w:val="0"/>
          <w:spacing w:val="0"/>
          <w:w w:val="100"/>
          <w:kern w:val="2"/>
          <w:sz w:val="28"/>
          <w:szCs w:val="28"/>
          <w:highlight w:val="none"/>
          <w:lang w:eastAsia="zh-CN" w:bidi="ar-SA"/>
        </w:rPr>
      </w:pPr>
      <w:r>
        <w:rPr>
          <w:rStyle w:val="57"/>
          <w:rFonts w:hint="default" w:ascii="仿宋" w:hAnsi="仿宋" w:eastAsia="仿宋" w:cs="仿宋"/>
          <w:b w:val="0"/>
          <w:i w:val="0"/>
          <w:caps w:val="0"/>
          <w:spacing w:val="0"/>
          <w:w w:val="100"/>
          <w:kern w:val="2"/>
          <w:sz w:val="28"/>
          <w:szCs w:val="28"/>
          <w:highlight w:val="none"/>
          <w:lang w:eastAsia="zh-CN" w:bidi="ar-SA"/>
        </w:rPr>
        <w:t>3.2</w:t>
      </w:r>
      <w:r>
        <w:rPr>
          <w:rStyle w:val="57"/>
          <w:rFonts w:hint="eastAsia" w:ascii="仿宋" w:hAnsi="仿宋" w:eastAsia="仿宋" w:cs="仿宋"/>
          <w:b w:val="0"/>
          <w:i w:val="0"/>
          <w:caps w:val="0"/>
          <w:spacing w:val="0"/>
          <w:w w:val="100"/>
          <w:kern w:val="2"/>
          <w:sz w:val="28"/>
          <w:szCs w:val="28"/>
          <w:highlight w:val="none"/>
          <w:lang w:val="en-US" w:eastAsia="zh-CN" w:bidi="ar-SA"/>
        </w:rPr>
        <w:t>服务人员不得少于11人，其中厨师6名（含主厨1人、大厨3人、中式面点师1人、西式面点师1人），勤杂服务人员5人</w:t>
      </w:r>
      <w:r>
        <w:rPr>
          <w:rStyle w:val="57"/>
          <w:rFonts w:hint="default" w:ascii="仿宋" w:hAnsi="仿宋" w:eastAsia="仿宋" w:cs="仿宋"/>
          <w:b w:val="0"/>
          <w:i w:val="0"/>
          <w:caps w:val="0"/>
          <w:spacing w:val="0"/>
          <w:w w:val="100"/>
          <w:kern w:val="2"/>
          <w:sz w:val="28"/>
          <w:szCs w:val="28"/>
          <w:highlight w:val="none"/>
          <w:lang w:eastAsia="zh-CN" w:bidi="ar-SA"/>
        </w:rPr>
        <w:t>。</w:t>
      </w:r>
      <w:r>
        <w:rPr>
          <w:rStyle w:val="57"/>
          <w:rFonts w:hint="eastAsia" w:ascii="仿宋" w:hAnsi="仿宋" w:eastAsia="仿宋" w:cs="仿宋"/>
          <w:b w:val="0"/>
          <w:i w:val="0"/>
          <w:caps w:val="0"/>
          <w:spacing w:val="0"/>
          <w:w w:val="100"/>
          <w:kern w:val="2"/>
          <w:sz w:val="28"/>
          <w:szCs w:val="28"/>
          <w:highlight w:val="none"/>
          <w:lang w:val="en-US" w:eastAsia="zh-CN" w:bidi="ar-SA"/>
        </w:rPr>
        <w:t>服务人员</w:t>
      </w:r>
      <w:r>
        <w:rPr>
          <w:rStyle w:val="57"/>
          <w:rFonts w:hint="default" w:ascii="仿宋" w:hAnsi="仿宋" w:eastAsia="仿宋" w:cs="仿宋"/>
          <w:b w:val="0"/>
          <w:i w:val="0"/>
          <w:caps w:val="0"/>
          <w:spacing w:val="0"/>
          <w:w w:val="100"/>
          <w:kern w:val="2"/>
          <w:sz w:val="28"/>
          <w:szCs w:val="28"/>
          <w:highlight w:val="none"/>
          <w:lang w:eastAsia="zh-CN" w:bidi="ar-SA"/>
        </w:rPr>
        <w:t>的要求请与招标文件保持一致。</w:t>
      </w:r>
    </w:p>
    <w:p w14:paraId="00E093A9">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default" w:ascii="仿宋" w:hAnsi="仿宋" w:eastAsia="仿宋" w:cs="仿宋"/>
          <w:b w:val="0"/>
          <w:i w:val="0"/>
          <w:caps w:val="0"/>
          <w:spacing w:val="0"/>
          <w:w w:val="100"/>
          <w:kern w:val="2"/>
          <w:sz w:val="28"/>
          <w:szCs w:val="28"/>
          <w:highlight w:val="none"/>
          <w:lang w:eastAsia="zh-CN" w:bidi="ar-SA"/>
        </w:rPr>
      </w:pPr>
      <w:r>
        <w:rPr>
          <w:rStyle w:val="57"/>
          <w:rFonts w:hint="default" w:ascii="仿宋" w:hAnsi="仿宋" w:eastAsia="仿宋" w:cs="仿宋"/>
          <w:b w:val="0"/>
          <w:i w:val="0"/>
          <w:caps w:val="0"/>
          <w:spacing w:val="0"/>
          <w:w w:val="100"/>
          <w:kern w:val="2"/>
          <w:sz w:val="28"/>
          <w:szCs w:val="28"/>
          <w:highlight w:val="none"/>
          <w:lang w:eastAsia="zh-CN" w:bidi="ar-SA"/>
        </w:rPr>
        <w:t>3.3所有派驻备案后的人员以及项目负责人原则上不得换人，如需换人，不得低于投标时要求的派驻人员标准，并须取得甲方同意。</w:t>
      </w:r>
    </w:p>
    <w:p w14:paraId="2C7D1B7B">
      <w:pPr>
        <w:pStyle w:val="10"/>
        <w:ind w:firstLine="560" w:firstLineChars="200"/>
        <w:rPr>
          <w:rFonts w:hint="default"/>
          <w:lang w:eastAsia="zh-CN"/>
        </w:rPr>
      </w:pPr>
      <w:r>
        <w:rPr>
          <w:rStyle w:val="57"/>
          <w:rFonts w:hint="default" w:ascii="仿宋" w:hAnsi="仿宋" w:eastAsia="仿宋" w:cs="仿宋"/>
          <w:b w:val="0"/>
          <w:i w:val="0"/>
          <w:caps w:val="0"/>
          <w:spacing w:val="0"/>
          <w:w w:val="100"/>
          <w:kern w:val="2"/>
          <w:sz w:val="28"/>
          <w:szCs w:val="28"/>
          <w:highlight w:val="none"/>
          <w:lang w:eastAsia="zh-CN" w:bidi="ar-SA"/>
        </w:rPr>
        <w:t>3.4乙方须负责安排驻场人员每年进行一次定期体检，体检结果报甲方备案，所需费用由乙方自理。</w:t>
      </w:r>
    </w:p>
    <w:p w14:paraId="44CFE33D">
      <w:pPr>
        <w:pStyle w:val="10"/>
        <w:ind w:firstLine="560" w:firstLineChars="200"/>
        <w:rPr>
          <w:rFonts w:hint="default"/>
          <w:highlight w:val="none"/>
          <w:lang w:eastAsia="zh-CN"/>
        </w:rPr>
      </w:pPr>
      <w:r>
        <w:rPr>
          <w:rStyle w:val="57"/>
          <w:rFonts w:hint="default" w:ascii="仿宋" w:hAnsi="仿宋" w:eastAsia="仿宋" w:cs="仿宋"/>
          <w:b w:val="0"/>
          <w:i w:val="0"/>
          <w:caps w:val="0"/>
          <w:spacing w:val="0"/>
          <w:w w:val="100"/>
          <w:kern w:val="2"/>
          <w:sz w:val="28"/>
          <w:szCs w:val="28"/>
          <w:highlight w:val="none"/>
          <w:lang w:eastAsia="zh-CN" w:bidi="ar-SA"/>
        </w:rPr>
        <w:t>3.5</w:t>
      </w:r>
      <w:r>
        <w:rPr>
          <w:rStyle w:val="57"/>
          <w:rFonts w:hint="eastAsia" w:ascii="仿宋" w:hAnsi="仿宋" w:eastAsia="仿宋" w:cs="仿宋"/>
          <w:b w:val="0"/>
          <w:i w:val="0"/>
          <w:caps w:val="0"/>
          <w:spacing w:val="0"/>
          <w:w w:val="100"/>
          <w:kern w:val="2"/>
          <w:sz w:val="28"/>
          <w:szCs w:val="28"/>
          <w:highlight w:val="none"/>
          <w:lang w:val="en-US" w:eastAsia="zh-CN" w:bidi="ar-SA"/>
        </w:rPr>
        <w:t>配备的人员必须满足甲方的工作需求，乙方对应岗位人员应具备相应的技能证书，原则上人员年龄在50岁以下（厨师岗位可适当放宽年龄限制），如人员配备不足导致项目无法正常运作由乙方承担责任。</w:t>
      </w:r>
    </w:p>
    <w:p w14:paraId="6191BB85">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2" w:firstLineChars="200"/>
        <w:jc w:val="left"/>
        <w:textAlignment w:val="baseline"/>
        <w:rPr>
          <w:rStyle w:val="57"/>
          <w:rFonts w:hint="default" w:ascii="仿宋" w:hAnsi="仿宋" w:eastAsia="仿宋" w:cs="仿宋"/>
          <w:b/>
          <w:bCs/>
          <w:i w:val="0"/>
          <w:caps w:val="0"/>
          <w:spacing w:val="0"/>
          <w:w w:val="100"/>
          <w:kern w:val="2"/>
          <w:sz w:val="28"/>
          <w:szCs w:val="28"/>
          <w:highlight w:val="none"/>
          <w:lang w:eastAsia="zh-CN" w:bidi="ar-SA"/>
        </w:rPr>
      </w:pPr>
      <w:r>
        <w:rPr>
          <w:rStyle w:val="57"/>
          <w:rFonts w:hint="default" w:ascii="仿宋" w:hAnsi="仿宋" w:eastAsia="仿宋" w:cs="仿宋"/>
          <w:b/>
          <w:bCs/>
          <w:i w:val="0"/>
          <w:caps w:val="0"/>
          <w:spacing w:val="0"/>
          <w:w w:val="100"/>
          <w:kern w:val="2"/>
          <w:sz w:val="28"/>
          <w:szCs w:val="28"/>
          <w:highlight w:val="none"/>
          <w:lang w:eastAsia="zh-CN" w:bidi="ar-SA"/>
        </w:rPr>
        <w:t>4.时间要求</w:t>
      </w:r>
    </w:p>
    <w:p w14:paraId="62708B7B">
      <w:pPr>
        <w:pStyle w:val="10"/>
        <w:ind w:firstLine="560" w:firstLineChars="200"/>
        <w:rPr>
          <w:rStyle w:val="57"/>
          <w:rFonts w:hint="default" w:ascii="仿宋" w:hAnsi="仿宋" w:eastAsia="仿宋" w:cs="仿宋"/>
          <w:b w:val="0"/>
          <w:i w:val="0"/>
          <w:caps w:val="0"/>
          <w:spacing w:val="0"/>
          <w:w w:val="100"/>
          <w:kern w:val="2"/>
          <w:sz w:val="28"/>
          <w:szCs w:val="28"/>
          <w:highlight w:val="none"/>
          <w:lang w:eastAsia="zh-CN" w:bidi="ar-SA"/>
        </w:rPr>
      </w:pPr>
      <w:r>
        <w:rPr>
          <w:rStyle w:val="57"/>
          <w:rFonts w:hint="default" w:ascii="仿宋" w:hAnsi="仿宋" w:eastAsia="仿宋" w:cs="仿宋"/>
          <w:b w:val="0"/>
          <w:i w:val="0"/>
          <w:caps w:val="0"/>
          <w:spacing w:val="0"/>
          <w:w w:val="100"/>
          <w:kern w:val="2"/>
          <w:sz w:val="28"/>
          <w:szCs w:val="28"/>
          <w:highlight w:val="none"/>
          <w:lang w:eastAsia="zh-CN" w:bidi="ar-SA"/>
        </w:rPr>
        <w:t>4.1食堂每周用餐日为：工作日。</w:t>
      </w:r>
    </w:p>
    <w:p w14:paraId="3433144E">
      <w:pPr>
        <w:pStyle w:val="10"/>
        <w:ind w:firstLine="560" w:firstLineChars="200"/>
        <w:rPr>
          <w:rStyle w:val="57"/>
          <w:rFonts w:hint="default" w:ascii="仿宋" w:hAnsi="仿宋" w:eastAsia="仿宋" w:cs="仿宋"/>
          <w:b w:val="0"/>
          <w:i w:val="0"/>
          <w:caps w:val="0"/>
          <w:spacing w:val="0"/>
          <w:w w:val="100"/>
          <w:kern w:val="2"/>
          <w:sz w:val="28"/>
          <w:szCs w:val="28"/>
          <w:highlight w:val="none"/>
          <w:lang w:eastAsia="zh-CN" w:bidi="ar-SA"/>
        </w:rPr>
      </w:pPr>
      <w:r>
        <w:rPr>
          <w:rStyle w:val="57"/>
          <w:rFonts w:hint="default" w:ascii="仿宋" w:hAnsi="仿宋" w:eastAsia="仿宋" w:cs="仿宋"/>
          <w:b w:val="0"/>
          <w:i w:val="0"/>
          <w:caps w:val="0"/>
          <w:spacing w:val="0"/>
          <w:w w:val="100"/>
          <w:kern w:val="2"/>
          <w:sz w:val="28"/>
          <w:szCs w:val="28"/>
          <w:highlight w:val="none"/>
          <w:lang w:eastAsia="zh-CN" w:bidi="ar-SA"/>
        </w:rPr>
        <w:t>4.2早餐7：55-8：55；中餐12：00-13：15；晚餐 18:00-19:00（特殊开餐时间视具体情况确定）。</w:t>
      </w:r>
    </w:p>
    <w:p w14:paraId="1917C25A">
      <w:pPr>
        <w:pStyle w:val="10"/>
        <w:ind w:firstLine="560" w:firstLineChars="200"/>
        <w:rPr>
          <w:rStyle w:val="57"/>
          <w:rFonts w:hint="default" w:ascii="仿宋" w:hAnsi="仿宋" w:eastAsia="仿宋" w:cs="仿宋"/>
          <w:b w:val="0"/>
          <w:i w:val="0"/>
          <w:caps w:val="0"/>
          <w:spacing w:val="0"/>
          <w:w w:val="100"/>
          <w:kern w:val="2"/>
          <w:sz w:val="28"/>
          <w:szCs w:val="28"/>
          <w:highlight w:val="none"/>
          <w:lang w:eastAsia="zh-CN" w:bidi="ar-SA"/>
        </w:rPr>
      </w:pPr>
      <w:r>
        <w:rPr>
          <w:rStyle w:val="57"/>
          <w:rFonts w:hint="default" w:ascii="仿宋" w:hAnsi="仿宋" w:eastAsia="仿宋" w:cs="仿宋"/>
          <w:b w:val="0"/>
          <w:i w:val="0"/>
          <w:caps w:val="0"/>
          <w:spacing w:val="0"/>
          <w:w w:val="100"/>
          <w:kern w:val="2"/>
          <w:sz w:val="28"/>
          <w:szCs w:val="28"/>
          <w:highlight w:val="none"/>
          <w:lang w:eastAsia="zh-CN" w:bidi="ar-SA"/>
        </w:rPr>
        <w:t>4.3甲方有权根据工作需求，调整上述国家法定工作日的开餐时间和乙方服务人员的工作时间，乙方须按照甲方要求予以全力保障。</w:t>
      </w:r>
    </w:p>
    <w:p w14:paraId="142DA70F">
      <w:pPr>
        <w:pStyle w:val="10"/>
        <w:ind w:firstLine="560" w:firstLineChars="200"/>
        <w:rPr>
          <w:rStyle w:val="57"/>
          <w:rFonts w:hint="default" w:ascii="仿宋" w:hAnsi="仿宋" w:eastAsia="仿宋" w:cs="仿宋"/>
          <w:b w:val="0"/>
          <w:i w:val="0"/>
          <w:caps w:val="0"/>
          <w:spacing w:val="0"/>
          <w:w w:val="100"/>
          <w:kern w:val="2"/>
          <w:sz w:val="28"/>
          <w:szCs w:val="28"/>
          <w:highlight w:val="none"/>
          <w:lang w:eastAsia="zh-CN" w:bidi="ar-SA"/>
        </w:rPr>
      </w:pPr>
      <w:r>
        <w:rPr>
          <w:rStyle w:val="57"/>
          <w:rFonts w:hint="default" w:ascii="仿宋" w:hAnsi="仿宋" w:eastAsia="仿宋" w:cs="仿宋"/>
          <w:b w:val="0"/>
          <w:i w:val="0"/>
          <w:caps w:val="0"/>
          <w:spacing w:val="0"/>
          <w:w w:val="100"/>
          <w:kern w:val="2"/>
          <w:sz w:val="28"/>
          <w:szCs w:val="28"/>
          <w:highlight w:val="none"/>
          <w:lang w:eastAsia="zh-CN" w:bidi="ar-SA"/>
        </w:rPr>
        <w:t>4.4如甲方有其他临时性的膳食保障服务工作需要，乙方需无条件按照采购单位要求提供服务，全力保障解决。在非国家法定工作日乙方服务人员产生的费用（按乙方人员月工资标准为基数测算），由乙方开具发票交至甲方另行支付。</w:t>
      </w:r>
    </w:p>
    <w:p w14:paraId="0633ED65">
      <w:pPr>
        <w:pStyle w:val="10"/>
        <w:ind w:firstLine="562" w:firstLineChars="200"/>
        <w:rPr>
          <w:rStyle w:val="57"/>
          <w:rFonts w:hint="default" w:ascii="仿宋" w:hAnsi="仿宋" w:eastAsia="仿宋" w:cs="仿宋"/>
          <w:b/>
          <w:bCs w:val="0"/>
          <w:i w:val="0"/>
          <w:caps w:val="0"/>
          <w:spacing w:val="0"/>
          <w:w w:val="100"/>
          <w:kern w:val="2"/>
          <w:sz w:val="28"/>
          <w:szCs w:val="28"/>
          <w:highlight w:val="none"/>
          <w:lang w:eastAsia="zh-CN" w:bidi="ar-SA"/>
        </w:rPr>
      </w:pPr>
      <w:r>
        <w:rPr>
          <w:rStyle w:val="57"/>
          <w:rFonts w:hint="default" w:ascii="仿宋" w:hAnsi="仿宋" w:eastAsia="仿宋" w:cs="仿宋"/>
          <w:b/>
          <w:bCs w:val="0"/>
          <w:i w:val="0"/>
          <w:caps w:val="0"/>
          <w:spacing w:val="0"/>
          <w:w w:val="100"/>
          <w:kern w:val="2"/>
          <w:sz w:val="28"/>
          <w:szCs w:val="28"/>
          <w:highlight w:val="none"/>
          <w:lang w:eastAsia="zh-CN" w:bidi="ar-SA"/>
        </w:rPr>
        <w:t>5.履约评价要求</w:t>
      </w:r>
    </w:p>
    <w:p w14:paraId="0D365F2B">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default" w:ascii="仿宋" w:hAnsi="仿宋" w:eastAsia="仿宋" w:cs="仿宋"/>
          <w:b w:val="0"/>
          <w:i w:val="0"/>
          <w:caps w:val="0"/>
          <w:spacing w:val="0"/>
          <w:w w:val="100"/>
          <w:kern w:val="2"/>
          <w:sz w:val="28"/>
          <w:szCs w:val="28"/>
          <w:highlight w:val="none"/>
          <w:lang w:eastAsia="zh-CN" w:bidi="ar-SA"/>
        </w:rPr>
      </w:pPr>
      <w:r>
        <w:rPr>
          <w:rStyle w:val="57"/>
          <w:rFonts w:hint="default" w:ascii="仿宋" w:hAnsi="仿宋" w:eastAsia="仿宋" w:cs="仿宋"/>
          <w:b w:val="0"/>
          <w:i w:val="0"/>
          <w:caps w:val="0"/>
          <w:spacing w:val="0"/>
          <w:w w:val="100"/>
          <w:kern w:val="2"/>
          <w:sz w:val="28"/>
          <w:szCs w:val="28"/>
          <w:highlight w:val="none"/>
          <w:lang w:eastAsia="zh-CN" w:bidi="ar-SA"/>
        </w:rPr>
        <w:t>1.评价要求：甲方每季度对乙方的食堂管理服务进行评价（见附件1），其中季度评价出现评价为“差”的，年度评价不能为“优”；季度评价出现2个或以上“差”的，年度评价不能为良。</w:t>
      </w:r>
    </w:p>
    <w:p w14:paraId="1E753190">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default" w:ascii="仿宋" w:hAnsi="仿宋" w:eastAsia="仿宋" w:cs="仿宋"/>
          <w:b w:val="0"/>
          <w:i w:val="0"/>
          <w:caps w:val="0"/>
          <w:spacing w:val="0"/>
          <w:w w:val="100"/>
          <w:kern w:val="2"/>
          <w:sz w:val="28"/>
          <w:szCs w:val="28"/>
          <w:highlight w:val="none"/>
          <w:lang w:eastAsia="zh-CN" w:bidi="ar-SA"/>
        </w:rPr>
      </w:pPr>
      <w:r>
        <w:rPr>
          <w:rStyle w:val="57"/>
          <w:rFonts w:hint="default" w:ascii="仿宋" w:hAnsi="仿宋" w:eastAsia="仿宋" w:cs="仿宋"/>
          <w:b w:val="0"/>
          <w:i w:val="0"/>
          <w:caps w:val="0"/>
          <w:spacing w:val="0"/>
          <w:w w:val="100"/>
          <w:kern w:val="2"/>
          <w:sz w:val="28"/>
          <w:szCs w:val="28"/>
          <w:highlight w:val="none"/>
          <w:lang w:eastAsia="zh-CN" w:bidi="ar-SA"/>
        </w:rPr>
        <w:t>2.考核方式：履约服务评价分为优、良、中、差四个等级，其中服务评价得分在90（含）-100分者为优，80（含）-90分者为良，70（含）-80分者为中，70分以下为差。每季度评价服务考核结束后3日内，甲方应将考核结果以书面形式反馈至乙方，如乙方在3日内未提出书面异议的，视为乙方接受甲方履约服务考核结果。</w:t>
      </w:r>
    </w:p>
    <w:p w14:paraId="3666AC4F">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2" w:firstLineChars="200"/>
        <w:jc w:val="left"/>
        <w:textAlignment w:val="baseline"/>
        <w:rPr>
          <w:rStyle w:val="57"/>
          <w:rFonts w:hint="eastAsia" w:ascii="仿宋" w:hAnsi="仿宋" w:eastAsia="仿宋" w:cs="仿宋"/>
          <w:b/>
          <w:bCs/>
          <w:i w:val="0"/>
          <w:caps w:val="0"/>
          <w:spacing w:val="0"/>
          <w:w w:val="100"/>
          <w:kern w:val="2"/>
          <w:sz w:val="28"/>
          <w:szCs w:val="28"/>
          <w:highlight w:val="none"/>
          <w:lang w:val="en-US" w:eastAsia="zh-CN" w:bidi="ar-SA"/>
        </w:rPr>
      </w:pPr>
      <w:r>
        <w:rPr>
          <w:rStyle w:val="57"/>
          <w:rFonts w:hint="eastAsia" w:ascii="仿宋" w:hAnsi="仿宋" w:eastAsia="仿宋" w:cs="仿宋"/>
          <w:b/>
          <w:bCs/>
          <w:i w:val="0"/>
          <w:caps w:val="0"/>
          <w:spacing w:val="0"/>
          <w:w w:val="100"/>
          <w:kern w:val="2"/>
          <w:sz w:val="28"/>
          <w:szCs w:val="28"/>
          <w:highlight w:val="none"/>
          <w:lang w:val="en-US" w:eastAsia="zh-CN" w:bidi="ar-SA"/>
        </w:rPr>
        <w:t>第</w:t>
      </w:r>
      <w:r>
        <w:rPr>
          <w:rStyle w:val="57"/>
          <w:rFonts w:hint="default" w:ascii="仿宋" w:hAnsi="仿宋" w:eastAsia="仿宋" w:cs="仿宋"/>
          <w:b/>
          <w:bCs/>
          <w:i w:val="0"/>
          <w:caps w:val="0"/>
          <w:spacing w:val="0"/>
          <w:w w:val="100"/>
          <w:kern w:val="2"/>
          <w:sz w:val="28"/>
          <w:szCs w:val="28"/>
          <w:highlight w:val="none"/>
          <w:lang w:eastAsia="zh-CN" w:bidi="ar-SA"/>
        </w:rPr>
        <w:t>七</w:t>
      </w:r>
      <w:r>
        <w:rPr>
          <w:rStyle w:val="57"/>
          <w:rFonts w:hint="eastAsia" w:ascii="仿宋" w:hAnsi="仿宋" w:eastAsia="仿宋" w:cs="仿宋"/>
          <w:b/>
          <w:bCs/>
          <w:i w:val="0"/>
          <w:caps w:val="0"/>
          <w:spacing w:val="0"/>
          <w:w w:val="100"/>
          <w:kern w:val="2"/>
          <w:sz w:val="28"/>
          <w:szCs w:val="28"/>
          <w:highlight w:val="none"/>
          <w:lang w:val="en-US" w:eastAsia="zh-CN" w:bidi="ar-SA"/>
        </w:rPr>
        <w:t>条 甲方的权利及义务</w:t>
      </w:r>
    </w:p>
    <w:p w14:paraId="24CEA94B">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eastAsia" w:ascii="仿宋" w:hAnsi="仿宋" w:eastAsia="仿宋" w:cs="仿宋"/>
          <w:b w:val="0"/>
          <w:i w:val="0"/>
          <w:caps w:val="0"/>
          <w:spacing w:val="0"/>
          <w:w w:val="100"/>
          <w:kern w:val="2"/>
          <w:sz w:val="28"/>
          <w:szCs w:val="28"/>
          <w:highlight w:val="none"/>
          <w:lang w:val="en-US" w:eastAsia="zh-CN" w:bidi="ar-SA"/>
        </w:rPr>
      </w:pPr>
      <w:r>
        <w:rPr>
          <w:rStyle w:val="57"/>
          <w:rFonts w:hint="eastAsia" w:ascii="仿宋" w:hAnsi="仿宋" w:eastAsia="仿宋" w:cs="仿宋"/>
          <w:b w:val="0"/>
          <w:i w:val="0"/>
          <w:caps w:val="0"/>
          <w:spacing w:val="0"/>
          <w:w w:val="100"/>
          <w:kern w:val="2"/>
          <w:sz w:val="28"/>
          <w:szCs w:val="28"/>
          <w:highlight w:val="none"/>
          <w:lang w:val="en-US" w:eastAsia="zh-CN" w:bidi="ar-SA"/>
        </w:rPr>
        <w:t>1</w:t>
      </w:r>
      <w:r>
        <w:rPr>
          <w:rStyle w:val="57"/>
          <w:rFonts w:hint="default" w:ascii="仿宋" w:hAnsi="仿宋" w:eastAsia="仿宋" w:cs="仿宋"/>
          <w:b w:val="0"/>
          <w:i w:val="0"/>
          <w:caps w:val="0"/>
          <w:spacing w:val="0"/>
          <w:w w:val="100"/>
          <w:kern w:val="2"/>
          <w:sz w:val="28"/>
          <w:szCs w:val="28"/>
          <w:highlight w:val="none"/>
          <w:lang w:eastAsia="zh-CN" w:bidi="ar-SA"/>
        </w:rPr>
        <w:t>.</w:t>
      </w:r>
      <w:r>
        <w:rPr>
          <w:rStyle w:val="57"/>
          <w:rFonts w:hint="eastAsia" w:ascii="仿宋" w:hAnsi="仿宋" w:eastAsia="仿宋" w:cs="仿宋"/>
          <w:b w:val="0"/>
          <w:i w:val="0"/>
          <w:caps w:val="0"/>
          <w:spacing w:val="0"/>
          <w:w w:val="100"/>
          <w:kern w:val="2"/>
          <w:sz w:val="28"/>
          <w:szCs w:val="28"/>
          <w:highlight w:val="none"/>
          <w:lang w:val="en-US" w:eastAsia="zh-CN" w:bidi="ar-SA"/>
        </w:rPr>
        <w:t>合同履行期限内，甲方有权对乙方的</w:t>
      </w:r>
      <w:r>
        <w:rPr>
          <w:rStyle w:val="57"/>
          <w:rFonts w:hint="default" w:ascii="仿宋" w:hAnsi="仿宋" w:eastAsia="仿宋" w:cs="仿宋"/>
          <w:b w:val="0"/>
          <w:i w:val="0"/>
          <w:caps w:val="0"/>
          <w:spacing w:val="0"/>
          <w:w w:val="100"/>
          <w:kern w:val="2"/>
          <w:sz w:val="28"/>
          <w:szCs w:val="28"/>
          <w:highlight w:val="none"/>
          <w:lang w:val="en-US" w:eastAsia="zh-CN" w:bidi="ar-SA"/>
        </w:rPr>
        <w:t>食堂管理</w:t>
      </w:r>
      <w:r>
        <w:rPr>
          <w:rStyle w:val="57"/>
          <w:rFonts w:hint="eastAsia" w:ascii="仿宋" w:hAnsi="仿宋" w:eastAsia="仿宋" w:cs="仿宋"/>
          <w:b w:val="0"/>
          <w:i w:val="0"/>
          <w:caps w:val="0"/>
          <w:spacing w:val="0"/>
          <w:w w:val="100"/>
          <w:kern w:val="2"/>
          <w:sz w:val="28"/>
          <w:szCs w:val="28"/>
          <w:highlight w:val="none"/>
          <w:lang w:val="en-US" w:eastAsia="zh-CN" w:bidi="ar-SA"/>
        </w:rPr>
        <w:t>服务工作进行全程监督和检查，如发现乙方有违反招投标文件及本合同约定的，有权采取限期整改、扣除履约</w:t>
      </w:r>
      <w:r>
        <w:rPr>
          <w:rStyle w:val="57"/>
          <w:rFonts w:hint="default" w:ascii="仿宋" w:hAnsi="仿宋" w:eastAsia="仿宋" w:cs="仿宋"/>
          <w:b w:val="0"/>
          <w:i w:val="0"/>
          <w:caps w:val="0"/>
          <w:spacing w:val="0"/>
          <w:w w:val="100"/>
          <w:kern w:val="2"/>
          <w:sz w:val="28"/>
          <w:szCs w:val="28"/>
          <w:highlight w:val="none"/>
          <w:lang w:eastAsia="zh-CN" w:bidi="ar-SA"/>
        </w:rPr>
        <w:t>保函</w:t>
      </w:r>
      <w:r>
        <w:rPr>
          <w:rStyle w:val="57"/>
          <w:rFonts w:hint="eastAsia" w:ascii="仿宋" w:hAnsi="仿宋" w:eastAsia="仿宋" w:cs="仿宋"/>
          <w:b w:val="0"/>
          <w:i w:val="0"/>
          <w:caps w:val="0"/>
          <w:spacing w:val="0"/>
          <w:w w:val="100"/>
          <w:kern w:val="2"/>
          <w:sz w:val="28"/>
          <w:szCs w:val="28"/>
          <w:highlight w:val="none"/>
          <w:lang w:val="en-US" w:eastAsia="zh-CN" w:bidi="ar-SA"/>
        </w:rPr>
        <w:t>、要求乙方承担违约责任，提前解除本合同等方式维护自身合法权益。</w:t>
      </w:r>
    </w:p>
    <w:p w14:paraId="00DA3BA6">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eastAsia" w:ascii="仿宋" w:hAnsi="仿宋" w:eastAsia="仿宋" w:cs="仿宋"/>
          <w:b w:val="0"/>
          <w:i w:val="0"/>
          <w:caps w:val="0"/>
          <w:spacing w:val="0"/>
          <w:w w:val="100"/>
          <w:kern w:val="2"/>
          <w:sz w:val="28"/>
          <w:szCs w:val="28"/>
          <w:highlight w:val="none"/>
          <w:lang w:val="en-US" w:eastAsia="zh-CN" w:bidi="ar-SA"/>
        </w:rPr>
      </w:pPr>
      <w:r>
        <w:rPr>
          <w:rStyle w:val="57"/>
          <w:rFonts w:hint="eastAsia" w:ascii="仿宋" w:hAnsi="仿宋" w:eastAsia="仿宋" w:cs="仿宋"/>
          <w:b w:val="0"/>
          <w:i w:val="0"/>
          <w:caps w:val="0"/>
          <w:spacing w:val="0"/>
          <w:w w:val="100"/>
          <w:kern w:val="2"/>
          <w:sz w:val="28"/>
          <w:szCs w:val="28"/>
          <w:highlight w:val="none"/>
          <w:lang w:val="en-US" w:eastAsia="zh-CN" w:bidi="ar-SA"/>
        </w:rPr>
        <w:t>2</w:t>
      </w:r>
      <w:r>
        <w:rPr>
          <w:rStyle w:val="57"/>
          <w:rFonts w:hint="default" w:ascii="仿宋" w:hAnsi="仿宋" w:eastAsia="仿宋" w:cs="仿宋"/>
          <w:b w:val="0"/>
          <w:i w:val="0"/>
          <w:caps w:val="0"/>
          <w:spacing w:val="0"/>
          <w:w w:val="100"/>
          <w:kern w:val="2"/>
          <w:sz w:val="28"/>
          <w:szCs w:val="28"/>
          <w:highlight w:val="none"/>
          <w:lang w:eastAsia="zh-CN" w:bidi="ar-SA"/>
        </w:rPr>
        <w:t>.</w:t>
      </w:r>
      <w:r>
        <w:rPr>
          <w:rStyle w:val="57"/>
          <w:rFonts w:hint="eastAsia" w:ascii="仿宋" w:hAnsi="仿宋" w:eastAsia="仿宋" w:cs="仿宋"/>
          <w:b w:val="0"/>
          <w:i w:val="0"/>
          <w:caps w:val="0"/>
          <w:spacing w:val="0"/>
          <w:w w:val="100"/>
          <w:kern w:val="2"/>
          <w:sz w:val="28"/>
          <w:szCs w:val="28"/>
          <w:highlight w:val="none"/>
          <w:lang w:val="en-US" w:eastAsia="zh-CN" w:bidi="ar-SA"/>
        </w:rPr>
        <w:t>当甲方认定乙方本项目服务专业人员未按招投标文件履行其职责，或专业能力、管理能力、责任心较差，不能有效与甲方配合并履行其项目服务义务；或与第三人串通给甲方造成经济损失的，甲方有权要求乙方更换项目服务专业人员，或者终止合同并要求乙方承担相应的赔偿责任。</w:t>
      </w:r>
    </w:p>
    <w:p w14:paraId="00273F66">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eastAsia" w:ascii="仿宋" w:hAnsi="仿宋" w:eastAsia="仿宋" w:cs="仿宋"/>
          <w:b w:val="0"/>
          <w:i w:val="0"/>
          <w:caps w:val="0"/>
          <w:spacing w:val="0"/>
          <w:w w:val="100"/>
          <w:kern w:val="2"/>
          <w:sz w:val="28"/>
          <w:szCs w:val="28"/>
          <w:highlight w:val="none"/>
          <w:lang w:val="en-US" w:eastAsia="zh-CN" w:bidi="ar-SA"/>
        </w:rPr>
      </w:pPr>
      <w:r>
        <w:rPr>
          <w:rStyle w:val="57"/>
          <w:rFonts w:hint="eastAsia" w:ascii="仿宋" w:hAnsi="仿宋" w:eastAsia="仿宋" w:cs="仿宋"/>
          <w:b w:val="0"/>
          <w:i w:val="0"/>
          <w:caps w:val="0"/>
          <w:spacing w:val="0"/>
          <w:w w:val="100"/>
          <w:kern w:val="2"/>
          <w:sz w:val="28"/>
          <w:szCs w:val="28"/>
          <w:highlight w:val="none"/>
          <w:lang w:val="en-US" w:eastAsia="zh-CN" w:bidi="ar-SA"/>
        </w:rPr>
        <w:t>3</w:t>
      </w:r>
      <w:r>
        <w:rPr>
          <w:rStyle w:val="57"/>
          <w:rFonts w:hint="default" w:ascii="仿宋" w:hAnsi="仿宋" w:eastAsia="仿宋" w:cs="仿宋"/>
          <w:b w:val="0"/>
          <w:i w:val="0"/>
          <w:caps w:val="0"/>
          <w:spacing w:val="0"/>
          <w:w w:val="100"/>
          <w:kern w:val="2"/>
          <w:sz w:val="28"/>
          <w:szCs w:val="28"/>
          <w:highlight w:val="none"/>
          <w:lang w:eastAsia="zh-CN" w:bidi="ar-SA"/>
        </w:rPr>
        <w:t>.</w:t>
      </w:r>
      <w:r>
        <w:rPr>
          <w:rStyle w:val="57"/>
          <w:rFonts w:hint="default" w:ascii="仿宋" w:hAnsi="仿宋" w:eastAsia="仿宋" w:cs="仿宋"/>
          <w:b w:val="0"/>
          <w:i w:val="0"/>
          <w:caps w:val="0"/>
          <w:spacing w:val="0"/>
          <w:w w:val="100"/>
          <w:kern w:val="2"/>
          <w:sz w:val="28"/>
          <w:szCs w:val="28"/>
          <w:highlight w:val="none"/>
          <w:lang w:val="en-US" w:eastAsia="zh-CN" w:bidi="ar-SA"/>
        </w:rPr>
        <w:t>合同</w:t>
      </w:r>
      <w:r>
        <w:rPr>
          <w:rStyle w:val="57"/>
          <w:rFonts w:hint="eastAsia" w:ascii="仿宋" w:hAnsi="仿宋" w:eastAsia="仿宋" w:cs="仿宋"/>
          <w:b w:val="0"/>
          <w:i w:val="0"/>
          <w:caps w:val="0"/>
          <w:spacing w:val="0"/>
          <w:w w:val="100"/>
          <w:kern w:val="2"/>
          <w:sz w:val="28"/>
          <w:szCs w:val="28"/>
          <w:highlight w:val="none"/>
          <w:lang w:val="en-US" w:eastAsia="zh-CN" w:bidi="ar-SA"/>
        </w:rPr>
        <w:t>期间</w:t>
      </w:r>
      <w:r>
        <w:rPr>
          <w:rStyle w:val="57"/>
          <w:rFonts w:hint="default" w:ascii="仿宋" w:hAnsi="仿宋" w:eastAsia="仿宋" w:cs="仿宋"/>
          <w:b w:val="0"/>
          <w:i w:val="0"/>
          <w:caps w:val="0"/>
          <w:spacing w:val="0"/>
          <w:w w:val="100"/>
          <w:kern w:val="2"/>
          <w:sz w:val="28"/>
          <w:szCs w:val="28"/>
          <w:highlight w:val="none"/>
          <w:lang w:val="en-US" w:eastAsia="zh-CN" w:bidi="ar-SA"/>
        </w:rPr>
        <w:t>内</w:t>
      </w:r>
      <w:r>
        <w:rPr>
          <w:rStyle w:val="57"/>
          <w:rFonts w:hint="eastAsia" w:ascii="仿宋" w:hAnsi="仿宋" w:eastAsia="仿宋" w:cs="仿宋"/>
          <w:b w:val="0"/>
          <w:i w:val="0"/>
          <w:caps w:val="0"/>
          <w:spacing w:val="0"/>
          <w:w w:val="100"/>
          <w:kern w:val="2"/>
          <w:sz w:val="28"/>
          <w:szCs w:val="28"/>
          <w:highlight w:val="none"/>
          <w:lang w:val="en-US" w:eastAsia="zh-CN" w:bidi="ar-SA"/>
        </w:rPr>
        <w:t>，甲方保证乙方正常的工作环境（包括水、电、燃气的正常供应等）；如遇停水、停电、停天燃气等情况影响食堂正常开餐的，甲方应及时做好进餐职工的解释和稳定工作，并积极协调相关部门尽快恢复供水、供电或供天然气。</w:t>
      </w:r>
    </w:p>
    <w:p w14:paraId="5ADEB25C">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eastAsia" w:ascii="仿宋" w:hAnsi="仿宋" w:eastAsia="仿宋" w:cs="仿宋"/>
          <w:b w:val="0"/>
          <w:i w:val="0"/>
          <w:caps w:val="0"/>
          <w:spacing w:val="0"/>
          <w:w w:val="100"/>
          <w:kern w:val="2"/>
          <w:sz w:val="28"/>
          <w:szCs w:val="28"/>
          <w:highlight w:val="none"/>
          <w:lang w:val="en-US" w:eastAsia="zh-CN" w:bidi="ar-SA"/>
        </w:rPr>
      </w:pPr>
      <w:r>
        <w:rPr>
          <w:rStyle w:val="57"/>
          <w:rFonts w:hint="eastAsia" w:ascii="仿宋" w:hAnsi="仿宋" w:eastAsia="仿宋" w:cs="仿宋"/>
          <w:b w:val="0"/>
          <w:i w:val="0"/>
          <w:caps w:val="0"/>
          <w:spacing w:val="0"/>
          <w:w w:val="100"/>
          <w:kern w:val="2"/>
          <w:sz w:val="28"/>
          <w:szCs w:val="28"/>
          <w:highlight w:val="none"/>
          <w:lang w:val="en-US" w:eastAsia="zh-CN" w:bidi="ar-SA"/>
        </w:rPr>
        <w:t>4</w:t>
      </w:r>
      <w:r>
        <w:rPr>
          <w:rStyle w:val="57"/>
          <w:rFonts w:hint="default" w:ascii="仿宋" w:hAnsi="仿宋" w:eastAsia="仿宋" w:cs="仿宋"/>
          <w:b w:val="0"/>
          <w:i w:val="0"/>
          <w:caps w:val="0"/>
          <w:spacing w:val="0"/>
          <w:w w:val="100"/>
          <w:kern w:val="2"/>
          <w:sz w:val="28"/>
          <w:szCs w:val="28"/>
          <w:highlight w:val="none"/>
          <w:lang w:eastAsia="zh-CN" w:bidi="ar-SA"/>
        </w:rPr>
        <w:t>.</w:t>
      </w:r>
      <w:r>
        <w:rPr>
          <w:rStyle w:val="57"/>
          <w:rFonts w:hint="eastAsia" w:ascii="仿宋" w:hAnsi="仿宋" w:eastAsia="仿宋" w:cs="仿宋"/>
          <w:b w:val="0"/>
          <w:i w:val="0"/>
          <w:caps w:val="0"/>
          <w:spacing w:val="0"/>
          <w:w w:val="100"/>
          <w:kern w:val="2"/>
          <w:sz w:val="28"/>
          <w:szCs w:val="28"/>
          <w:highlight w:val="none"/>
          <w:lang w:val="en-US" w:eastAsia="zh-CN" w:bidi="ar-SA"/>
        </w:rPr>
        <w:t>甲方根据食堂供餐需求，提前做好场地规划及食堂设施设备与用具的配备；</w:t>
      </w:r>
      <w:r>
        <w:rPr>
          <w:rStyle w:val="57"/>
          <w:rFonts w:hint="default" w:ascii="仿宋" w:hAnsi="仿宋" w:eastAsia="仿宋" w:cs="仿宋"/>
          <w:b w:val="0"/>
          <w:i w:val="0"/>
          <w:caps w:val="0"/>
          <w:spacing w:val="0"/>
          <w:w w:val="100"/>
          <w:kern w:val="2"/>
          <w:sz w:val="28"/>
          <w:szCs w:val="28"/>
          <w:highlight w:val="none"/>
          <w:lang w:val="en-US" w:eastAsia="zh-CN" w:bidi="ar-SA"/>
        </w:rPr>
        <w:t>合同</w:t>
      </w:r>
      <w:r>
        <w:rPr>
          <w:rStyle w:val="57"/>
          <w:rFonts w:hint="eastAsia" w:ascii="仿宋" w:hAnsi="仿宋" w:eastAsia="仿宋" w:cs="仿宋"/>
          <w:b w:val="0"/>
          <w:i w:val="0"/>
          <w:caps w:val="0"/>
          <w:spacing w:val="0"/>
          <w:w w:val="100"/>
          <w:kern w:val="2"/>
          <w:sz w:val="28"/>
          <w:szCs w:val="28"/>
          <w:highlight w:val="none"/>
          <w:lang w:val="en-US" w:eastAsia="zh-CN" w:bidi="ar-SA"/>
        </w:rPr>
        <w:t>期间，按实际进餐规模的变化调整相应操作设备及用具。</w:t>
      </w:r>
    </w:p>
    <w:p w14:paraId="4B4FEF10">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eastAsia" w:ascii="仿宋" w:hAnsi="仿宋" w:eastAsia="仿宋" w:cs="仿宋"/>
          <w:b w:val="0"/>
          <w:i w:val="0"/>
          <w:caps w:val="0"/>
          <w:spacing w:val="0"/>
          <w:w w:val="100"/>
          <w:kern w:val="2"/>
          <w:sz w:val="28"/>
          <w:szCs w:val="28"/>
          <w:highlight w:val="none"/>
          <w:lang w:val="en-US" w:eastAsia="zh-CN" w:bidi="ar-SA"/>
        </w:rPr>
      </w:pPr>
      <w:r>
        <w:rPr>
          <w:rStyle w:val="57"/>
          <w:rFonts w:hint="eastAsia" w:ascii="仿宋" w:hAnsi="仿宋" w:eastAsia="仿宋" w:cs="仿宋"/>
          <w:b w:val="0"/>
          <w:i w:val="0"/>
          <w:caps w:val="0"/>
          <w:spacing w:val="0"/>
          <w:w w:val="100"/>
          <w:kern w:val="2"/>
          <w:sz w:val="28"/>
          <w:szCs w:val="28"/>
          <w:highlight w:val="none"/>
          <w:lang w:val="en-US" w:eastAsia="zh-CN" w:bidi="ar-SA"/>
        </w:rPr>
        <w:t>5</w:t>
      </w:r>
      <w:r>
        <w:rPr>
          <w:rStyle w:val="57"/>
          <w:rFonts w:hint="default" w:ascii="仿宋" w:hAnsi="仿宋" w:eastAsia="仿宋" w:cs="仿宋"/>
          <w:b w:val="0"/>
          <w:i w:val="0"/>
          <w:caps w:val="0"/>
          <w:spacing w:val="0"/>
          <w:w w:val="100"/>
          <w:kern w:val="2"/>
          <w:sz w:val="28"/>
          <w:szCs w:val="28"/>
          <w:highlight w:val="none"/>
          <w:lang w:eastAsia="zh-CN" w:bidi="ar-SA"/>
        </w:rPr>
        <w:t>.</w:t>
      </w:r>
      <w:r>
        <w:rPr>
          <w:rStyle w:val="57"/>
          <w:rFonts w:hint="default" w:ascii="仿宋" w:hAnsi="仿宋" w:eastAsia="仿宋" w:cs="仿宋"/>
          <w:b w:val="0"/>
          <w:i w:val="0"/>
          <w:caps w:val="0"/>
          <w:spacing w:val="0"/>
          <w:w w:val="100"/>
          <w:kern w:val="2"/>
          <w:sz w:val="28"/>
          <w:szCs w:val="28"/>
          <w:highlight w:val="none"/>
          <w:lang w:val="en-US" w:eastAsia="zh-CN" w:bidi="ar-SA"/>
        </w:rPr>
        <w:t>合同</w:t>
      </w:r>
      <w:r>
        <w:rPr>
          <w:rStyle w:val="57"/>
          <w:rFonts w:hint="eastAsia" w:ascii="仿宋" w:hAnsi="仿宋" w:eastAsia="仿宋" w:cs="仿宋"/>
          <w:b w:val="0"/>
          <w:i w:val="0"/>
          <w:caps w:val="0"/>
          <w:spacing w:val="0"/>
          <w:w w:val="100"/>
          <w:kern w:val="2"/>
          <w:sz w:val="28"/>
          <w:szCs w:val="28"/>
          <w:highlight w:val="none"/>
          <w:lang w:val="en-US" w:eastAsia="zh-CN" w:bidi="ar-SA"/>
        </w:rPr>
        <w:t>期间</w:t>
      </w:r>
      <w:r>
        <w:rPr>
          <w:rStyle w:val="57"/>
          <w:rFonts w:hint="default" w:ascii="仿宋" w:hAnsi="仿宋" w:eastAsia="仿宋" w:cs="仿宋"/>
          <w:b w:val="0"/>
          <w:i w:val="0"/>
          <w:caps w:val="0"/>
          <w:spacing w:val="0"/>
          <w:w w:val="100"/>
          <w:kern w:val="2"/>
          <w:sz w:val="28"/>
          <w:szCs w:val="28"/>
          <w:highlight w:val="none"/>
          <w:lang w:val="en-US" w:eastAsia="zh-CN" w:bidi="ar-SA"/>
        </w:rPr>
        <w:t>内</w:t>
      </w:r>
      <w:r>
        <w:rPr>
          <w:rStyle w:val="57"/>
          <w:rFonts w:hint="eastAsia" w:ascii="仿宋" w:hAnsi="仿宋" w:eastAsia="仿宋" w:cs="仿宋"/>
          <w:b w:val="0"/>
          <w:i w:val="0"/>
          <w:caps w:val="0"/>
          <w:spacing w:val="0"/>
          <w:w w:val="100"/>
          <w:kern w:val="2"/>
          <w:sz w:val="28"/>
          <w:szCs w:val="28"/>
          <w:highlight w:val="none"/>
          <w:lang w:val="en-US" w:eastAsia="zh-CN" w:bidi="ar-SA"/>
        </w:rPr>
        <w:t>，乙方应配合甲方做好</w:t>
      </w:r>
      <w:r>
        <w:rPr>
          <w:rStyle w:val="57"/>
          <w:rFonts w:hint="default" w:ascii="仿宋" w:hAnsi="仿宋" w:eastAsia="仿宋" w:cs="仿宋"/>
          <w:b w:val="0"/>
          <w:i w:val="0"/>
          <w:caps w:val="0"/>
          <w:spacing w:val="0"/>
          <w:w w:val="100"/>
          <w:kern w:val="2"/>
          <w:sz w:val="28"/>
          <w:szCs w:val="28"/>
          <w:highlight w:val="none"/>
          <w:lang w:val="en-US" w:eastAsia="zh-CN" w:bidi="ar-SA"/>
        </w:rPr>
        <w:t>市监局、</w:t>
      </w:r>
      <w:r>
        <w:rPr>
          <w:rStyle w:val="57"/>
          <w:rFonts w:hint="eastAsia" w:ascii="仿宋" w:hAnsi="仿宋" w:eastAsia="仿宋" w:cs="仿宋"/>
          <w:b w:val="0"/>
          <w:i w:val="0"/>
          <w:caps w:val="0"/>
          <w:spacing w:val="0"/>
          <w:w w:val="100"/>
          <w:kern w:val="2"/>
          <w:sz w:val="28"/>
          <w:szCs w:val="28"/>
          <w:highlight w:val="none"/>
          <w:lang w:val="en-US" w:eastAsia="zh-CN" w:bidi="ar-SA"/>
        </w:rPr>
        <w:t>税务、防疫、卫生、环保等有关部门的衔接工作，其中所发生费用报甲方审批，由甲方负责支付。</w:t>
      </w:r>
    </w:p>
    <w:p w14:paraId="4084DFBE">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eastAsia" w:ascii="仿宋" w:hAnsi="仿宋" w:eastAsia="仿宋" w:cs="仿宋"/>
          <w:b w:val="0"/>
          <w:i w:val="0"/>
          <w:caps w:val="0"/>
          <w:spacing w:val="0"/>
          <w:w w:val="100"/>
          <w:kern w:val="2"/>
          <w:sz w:val="28"/>
          <w:szCs w:val="28"/>
          <w:highlight w:val="none"/>
          <w:lang w:val="en-US" w:eastAsia="zh-CN" w:bidi="ar-SA"/>
        </w:rPr>
      </w:pPr>
      <w:r>
        <w:rPr>
          <w:rStyle w:val="57"/>
          <w:rFonts w:hint="eastAsia" w:ascii="仿宋" w:hAnsi="仿宋" w:eastAsia="仿宋" w:cs="仿宋"/>
          <w:b w:val="0"/>
          <w:i w:val="0"/>
          <w:caps w:val="0"/>
          <w:spacing w:val="0"/>
          <w:w w:val="100"/>
          <w:kern w:val="2"/>
          <w:sz w:val="28"/>
          <w:szCs w:val="28"/>
          <w:highlight w:val="none"/>
          <w:lang w:val="en-US" w:eastAsia="zh-CN" w:bidi="ar-SA"/>
        </w:rPr>
        <w:t>6</w:t>
      </w:r>
      <w:r>
        <w:rPr>
          <w:rStyle w:val="57"/>
          <w:rFonts w:hint="default" w:ascii="仿宋" w:hAnsi="仿宋" w:eastAsia="仿宋" w:cs="仿宋"/>
          <w:b w:val="0"/>
          <w:i w:val="0"/>
          <w:caps w:val="0"/>
          <w:spacing w:val="0"/>
          <w:w w:val="100"/>
          <w:kern w:val="2"/>
          <w:sz w:val="28"/>
          <w:szCs w:val="28"/>
          <w:highlight w:val="none"/>
          <w:lang w:eastAsia="zh-CN" w:bidi="ar-SA"/>
        </w:rPr>
        <w:t>.</w:t>
      </w:r>
      <w:r>
        <w:rPr>
          <w:rStyle w:val="57"/>
          <w:rFonts w:hint="default" w:ascii="仿宋" w:hAnsi="仿宋" w:eastAsia="仿宋" w:cs="仿宋"/>
          <w:b w:val="0"/>
          <w:i w:val="0"/>
          <w:caps w:val="0"/>
          <w:spacing w:val="0"/>
          <w:w w:val="100"/>
          <w:kern w:val="2"/>
          <w:sz w:val="28"/>
          <w:szCs w:val="28"/>
          <w:highlight w:val="none"/>
          <w:lang w:val="en-US" w:eastAsia="zh-CN" w:bidi="ar-SA"/>
        </w:rPr>
        <w:t>合同</w:t>
      </w:r>
      <w:r>
        <w:rPr>
          <w:rStyle w:val="57"/>
          <w:rFonts w:hint="eastAsia" w:ascii="仿宋" w:hAnsi="仿宋" w:eastAsia="仿宋" w:cs="仿宋"/>
          <w:b w:val="0"/>
          <w:i w:val="0"/>
          <w:caps w:val="0"/>
          <w:spacing w:val="0"/>
          <w:w w:val="100"/>
          <w:kern w:val="2"/>
          <w:sz w:val="28"/>
          <w:szCs w:val="28"/>
          <w:highlight w:val="none"/>
          <w:lang w:val="en-US" w:eastAsia="zh-CN" w:bidi="ar-SA"/>
        </w:rPr>
        <w:t>期间</w:t>
      </w:r>
      <w:r>
        <w:rPr>
          <w:rStyle w:val="57"/>
          <w:rFonts w:hint="default" w:ascii="仿宋" w:hAnsi="仿宋" w:eastAsia="仿宋" w:cs="仿宋"/>
          <w:b w:val="0"/>
          <w:i w:val="0"/>
          <w:caps w:val="0"/>
          <w:spacing w:val="0"/>
          <w:w w:val="100"/>
          <w:kern w:val="2"/>
          <w:sz w:val="28"/>
          <w:szCs w:val="28"/>
          <w:highlight w:val="none"/>
          <w:lang w:val="en-US" w:eastAsia="zh-CN" w:bidi="ar-SA"/>
        </w:rPr>
        <w:t>内</w:t>
      </w:r>
      <w:r>
        <w:rPr>
          <w:rStyle w:val="57"/>
          <w:rFonts w:hint="eastAsia" w:ascii="仿宋" w:hAnsi="仿宋" w:eastAsia="仿宋" w:cs="仿宋"/>
          <w:b w:val="0"/>
          <w:i w:val="0"/>
          <w:caps w:val="0"/>
          <w:spacing w:val="0"/>
          <w:w w:val="100"/>
          <w:kern w:val="2"/>
          <w:sz w:val="28"/>
          <w:szCs w:val="28"/>
          <w:highlight w:val="none"/>
          <w:lang w:val="en-US" w:eastAsia="zh-CN" w:bidi="ar-SA"/>
        </w:rPr>
        <w:t>，甲方负责承担食堂物业费、垃圾清运费以及食堂生产所需的水、电、</w:t>
      </w:r>
      <w:r>
        <w:rPr>
          <w:rStyle w:val="57"/>
          <w:rFonts w:hint="default" w:ascii="仿宋" w:hAnsi="仿宋" w:eastAsia="仿宋" w:cs="仿宋"/>
          <w:b w:val="0"/>
          <w:i w:val="0"/>
          <w:caps w:val="0"/>
          <w:spacing w:val="0"/>
          <w:w w:val="100"/>
          <w:kern w:val="2"/>
          <w:sz w:val="28"/>
          <w:szCs w:val="28"/>
          <w:highlight w:val="none"/>
          <w:lang w:eastAsia="zh-CN" w:bidi="ar-SA"/>
        </w:rPr>
        <w:t>燃</w:t>
      </w:r>
      <w:r>
        <w:rPr>
          <w:rStyle w:val="57"/>
          <w:rFonts w:hint="eastAsia" w:ascii="仿宋" w:hAnsi="仿宋" w:eastAsia="仿宋" w:cs="仿宋"/>
          <w:b w:val="0"/>
          <w:i w:val="0"/>
          <w:caps w:val="0"/>
          <w:spacing w:val="0"/>
          <w:w w:val="100"/>
          <w:kern w:val="2"/>
          <w:sz w:val="28"/>
          <w:szCs w:val="28"/>
          <w:highlight w:val="none"/>
          <w:lang w:val="en-US" w:eastAsia="zh-CN" w:bidi="ar-SA"/>
        </w:rPr>
        <w:t>气费用。</w:t>
      </w:r>
    </w:p>
    <w:p w14:paraId="34A08A16">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eastAsia" w:ascii="仿宋" w:hAnsi="仿宋" w:eastAsia="仿宋" w:cs="仿宋"/>
          <w:b w:val="0"/>
          <w:i w:val="0"/>
          <w:caps w:val="0"/>
          <w:spacing w:val="0"/>
          <w:w w:val="100"/>
          <w:kern w:val="2"/>
          <w:sz w:val="28"/>
          <w:szCs w:val="28"/>
          <w:highlight w:val="none"/>
          <w:lang w:val="en-US" w:eastAsia="zh-CN" w:bidi="ar-SA"/>
        </w:rPr>
      </w:pPr>
      <w:r>
        <w:rPr>
          <w:rStyle w:val="57"/>
          <w:rFonts w:hint="eastAsia" w:ascii="仿宋" w:hAnsi="仿宋" w:eastAsia="仿宋" w:cs="仿宋"/>
          <w:b w:val="0"/>
          <w:i w:val="0"/>
          <w:caps w:val="0"/>
          <w:spacing w:val="0"/>
          <w:w w:val="100"/>
          <w:kern w:val="2"/>
          <w:sz w:val="28"/>
          <w:szCs w:val="28"/>
          <w:highlight w:val="none"/>
          <w:lang w:val="en-US" w:eastAsia="zh-CN" w:bidi="ar-SA"/>
        </w:rPr>
        <w:t>7</w:t>
      </w:r>
      <w:r>
        <w:rPr>
          <w:rStyle w:val="57"/>
          <w:rFonts w:hint="default" w:ascii="仿宋" w:hAnsi="仿宋" w:eastAsia="仿宋" w:cs="仿宋"/>
          <w:b w:val="0"/>
          <w:i w:val="0"/>
          <w:caps w:val="0"/>
          <w:spacing w:val="0"/>
          <w:w w:val="100"/>
          <w:kern w:val="2"/>
          <w:sz w:val="28"/>
          <w:szCs w:val="28"/>
          <w:highlight w:val="none"/>
          <w:lang w:eastAsia="zh-CN" w:bidi="ar-SA"/>
        </w:rPr>
        <w:t>.</w:t>
      </w:r>
      <w:r>
        <w:rPr>
          <w:rStyle w:val="57"/>
          <w:rFonts w:hint="default" w:ascii="仿宋" w:hAnsi="仿宋" w:eastAsia="仿宋" w:cs="仿宋"/>
          <w:b w:val="0"/>
          <w:i w:val="0"/>
          <w:caps w:val="0"/>
          <w:spacing w:val="0"/>
          <w:w w:val="100"/>
          <w:kern w:val="2"/>
          <w:sz w:val="28"/>
          <w:szCs w:val="28"/>
          <w:highlight w:val="none"/>
          <w:lang w:val="en-US" w:eastAsia="zh-CN" w:bidi="ar-SA"/>
        </w:rPr>
        <w:t>合同</w:t>
      </w:r>
      <w:r>
        <w:rPr>
          <w:rStyle w:val="57"/>
          <w:rFonts w:hint="eastAsia" w:ascii="仿宋" w:hAnsi="仿宋" w:eastAsia="仿宋" w:cs="仿宋"/>
          <w:b w:val="0"/>
          <w:i w:val="0"/>
          <w:caps w:val="0"/>
          <w:spacing w:val="0"/>
          <w:w w:val="100"/>
          <w:kern w:val="2"/>
          <w:sz w:val="28"/>
          <w:szCs w:val="28"/>
          <w:highlight w:val="none"/>
          <w:lang w:val="en-US" w:eastAsia="zh-CN" w:bidi="ar-SA"/>
        </w:rPr>
        <w:t>期间</w:t>
      </w:r>
      <w:r>
        <w:rPr>
          <w:rStyle w:val="57"/>
          <w:rFonts w:hint="default" w:ascii="仿宋" w:hAnsi="仿宋" w:eastAsia="仿宋" w:cs="仿宋"/>
          <w:b w:val="0"/>
          <w:i w:val="0"/>
          <w:caps w:val="0"/>
          <w:spacing w:val="0"/>
          <w:w w:val="100"/>
          <w:kern w:val="2"/>
          <w:sz w:val="28"/>
          <w:szCs w:val="28"/>
          <w:highlight w:val="none"/>
          <w:lang w:val="en-US" w:eastAsia="zh-CN" w:bidi="ar-SA"/>
        </w:rPr>
        <w:t>内</w:t>
      </w:r>
      <w:r>
        <w:rPr>
          <w:rStyle w:val="57"/>
          <w:rFonts w:hint="eastAsia" w:ascii="仿宋" w:hAnsi="仿宋" w:eastAsia="仿宋" w:cs="仿宋"/>
          <w:b w:val="0"/>
          <w:i w:val="0"/>
          <w:caps w:val="0"/>
          <w:spacing w:val="0"/>
          <w:w w:val="100"/>
          <w:kern w:val="2"/>
          <w:sz w:val="28"/>
          <w:szCs w:val="28"/>
          <w:highlight w:val="none"/>
          <w:lang w:val="en-US" w:eastAsia="zh-CN" w:bidi="ar-SA"/>
        </w:rPr>
        <w:t>，甲方定期检修食堂的房屋及其附属设施、设备（水、电、燃气管道、户外给排系统），定期对抽排烟管道进行清洗，并承担相应费用。</w:t>
      </w:r>
    </w:p>
    <w:p w14:paraId="197DA147">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eastAsia" w:ascii="仿宋" w:hAnsi="仿宋" w:eastAsia="仿宋" w:cs="仿宋"/>
          <w:b w:val="0"/>
          <w:i w:val="0"/>
          <w:caps w:val="0"/>
          <w:spacing w:val="0"/>
          <w:w w:val="100"/>
          <w:kern w:val="2"/>
          <w:sz w:val="28"/>
          <w:szCs w:val="28"/>
          <w:highlight w:val="none"/>
          <w:lang w:val="en-US" w:eastAsia="zh-CN" w:bidi="ar-SA"/>
        </w:rPr>
      </w:pPr>
      <w:r>
        <w:rPr>
          <w:rStyle w:val="57"/>
          <w:rFonts w:hint="default" w:ascii="仿宋" w:hAnsi="仿宋" w:eastAsia="仿宋" w:cs="仿宋"/>
          <w:b w:val="0"/>
          <w:i w:val="0"/>
          <w:caps w:val="0"/>
          <w:spacing w:val="0"/>
          <w:w w:val="100"/>
          <w:kern w:val="2"/>
          <w:sz w:val="28"/>
          <w:szCs w:val="28"/>
          <w:highlight w:val="none"/>
          <w:lang w:eastAsia="zh-CN" w:bidi="ar-SA"/>
        </w:rPr>
        <w:t>8.</w:t>
      </w:r>
      <w:r>
        <w:rPr>
          <w:rStyle w:val="57"/>
          <w:rFonts w:hint="default" w:ascii="仿宋" w:hAnsi="仿宋" w:eastAsia="仿宋" w:cs="仿宋"/>
          <w:b w:val="0"/>
          <w:i w:val="0"/>
          <w:caps w:val="0"/>
          <w:spacing w:val="0"/>
          <w:w w:val="100"/>
          <w:kern w:val="2"/>
          <w:sz w:val="28"/>
          <w:szCs w:val="28"/>
          <w:highlight w:val="none"/>
          <w:lang w:val="en-US" w:eastAsia="zh-CN" w:bidi="ar-SA"/>
        </w:rPr>
        <w:t>合同</w:t>
      </w:r>
      <w:r>
        <w:rPr>
          <w:rStyle w:val="57"/>
          <w:rFonts w:hint="eastAsia" w:ascii="仿宋" w:hAnsi="仿宋" w:eastAsia="仿宋" w:cs="仿宋"/>
          <w:b w:val="0"/>
          <w:i w:val="0"/>
          <w:caps w:val="0"/>
          <w:spacing w:val="0"/>
          <w:w w:val="100"/>
          <w:kern w:val="2"/>
          <w:sz w:val="28"/>
          <w:szCs w:val="28"/>
          <w:highlight w:val="none"/>
          <w:lang w:val="en-US" w:eastAsia="zh-CN" w:bidi="ar-SA"/>
        </w:rPr>
        <w:t>期间</w:t>
      </w:r>
      <w:r>
        <w:rPr>
          <w:rStyle w:val="57"/>
          <w:rFonts w:hint="default" w:ascii="仿宋" w:hAnsi="仿宋" w:eastAsia="仿宋" w:cs="仿宋"/>
          <w:b w:val="0"/>
          <w:i w:val="0"/>
          <w:caps w:val="0"/>
          <w:spacing w:val="0"/>
          <w:w w:val="100"/>
          <w:kern w:val="2"/>
          <w:sz w:val="28"/>
          <w:szCs w:val="28"/>
          <w:highlight w:val="none"/>
          <w:lang w:val="en-US" w:eastAsia="zh-CN" w:bidi="ar-SA"/>
        </w:rPr>
        <w:t>内</w:t>
      </w:r>
      <w:r>
        <w:rPr>
          <w:rStyle w:val="57"/>
          <w:rFonts w:hint="eastAsia" w:ascii="仿宋" w:hAnsi="仿宋" w:eastAsia="仿宋" w:cs="仿宋"/>
          <w:b w:val="0"/>
          <w:i w:val="0"/>
          <w:caps w:val="0"/>
          <w:spacing w:val="0"/>
          <w:w w:val="100"/>
          <w:kern w:val="2"/>
          <w:sz w:val="28"/>
          <w:szCs w:val="28"/>
          <w:highlight w:val="none"/>
          <w:lang w:val="en-US" w:eastAsia="zh-CN" w:bidi="ar-SA"/>
        </w:rPr>
        <w:t>，甲方对乙方工作质量进行监督考核，有权要求乙方对违反本合同约定及甲方要求的服务等事项进行限期整改。</w:t>
      </w:r>
    </w:p>
    <w:p w14:paraId="15096DD1">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2" w:firstLineChars="200"/>
        <w:jc w:val="left"/>
        <w:textAlignment w:val="baseline"/>
        <w:rPr>
          <w:rStyle w:val="57"/>
          <w:rFonts w:hint="eastAsia" w:ascii="仿宋" w:hAnsi="仿宋" w:eastAsia="仿宋" w:cs="仿宋"/>
          <w:b/>
          <w:bCs/>
          <w:i w:val="0"/>
          <w:caps w:val="0"/>
          <w:spacing w:val="0"/>
          <w:w w:val="100"/>
          <w:kern w:val="2"/>
          <w:sz w:val="28"/>
          <w:szCs w:val="28"/>
          <w:highlight w:val="none"/>
          <w:lang w:val="en-US" w:eastAsia="zh-CN" w:bidi="ar-SA"/>
        </w:rPr>
      </w:pPr>
      <w:r>
        <w:rPr>
          <w:rStyle w:val="57"/>
          <w:rFonts w:hint="eastAsia" w:ascii="仿宋" w:hAnsi="仿宋" w:eastAsia="仿宋" w:cs="仿宋"/>
          <w:b/>
          <w:bCs/>
          <w:i w:val="0"/>
          <w:caps w:val="0"/>
          <w:spacing w:val="0"/>
          <w:w w:val="100"/>
          <w:kern w:val="2"/>
          <w:sz w:val="28"/>
          <w:szCs w:val="28"/>
          <w:highlight w:val="none"/>
          <w:lang w:val="en-US" w:eastAsia="zh-CN" w:bidi="ar-SA"/>
        </w:rPr>
        <w:t>第</w:t>
      </w:r>
      <w:r>
        <w:rPr>
          <w:rStyle w:val="57"/>
          <w:rFonts w:hint="default" w:ascii="仿宋" w:hAnsi="仿宋" w:eastAsia="仿宋" w:cs="仿宋"/>
          <w:b/>
          <w:bCs/>
          <w:i w:val="0"/>
          <w:caps w:val="0"/>
          <w:spacing w:val="0"/>
          <w:w w:val="100"/>
          <w:kern w:val="2"/>
          <w:sz w:val="28"/>
          <w:szCs w:val="28"/>
          <w:highlight w:val="none"/>
          <w:lang w:eastAsia="zh-CN" w:bidi="ar-SA"/>
        </w:rPr>
        <w:t>八</w:t>
      </w:r>
      <w:r>
        <w:rPr>
          <w:rStyle w:val="57"/>
          <w:rFonts w:hint="eastAsia" w:ascii="仿宋" w:hAnsi="仿宋" w:eastAsia="仿宋" w:cs="仿宋"/>
          <w:b/>
          <w:bCs/>
          <w:i w:val="0"/>
          <w:caps w:val="0"/>
          <w:spacing w:val="0"/>
          <w:w w:val="100"/>
          <w:kern w:val="2"/>
          <w:sz w:val="28"/>
          <w:szCs w:val="28"/>
          <w:highlight w:val="none"/>
          <w:lang w:val="en-US" w:eastAsia="zh-CN" w:bidi="ar-SA"/>
        </w:rPr>
        <w:t>条 乙方的权利和义务</w:t>
      </w:r>
    </w:p>
    <w:p w14:paraId="4D092424">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eastAsia" w:ascii="仿宋" w:hAnsi="仿宋" w:eastAsia="仿宋" w:cs="仿宋"/>
          <w:b w:val="0"/>
          <w:i w:val="0"/>
          <w:caps w:val="0"/>
          <w:spacing w:val="0"/>
          <w:w w:val="100"/>
          <w:kern w:val="2"/>
          <w:sz w:val="28"/>
          <w:szCs w:val="28"/>
          <w:highlight w:val="none"/>
          <w:lang w:val="en-US" w:eastAsia="zh-CN" w:bidi="ar-SA"/>
        </w:rPr>
      </w:pPr>
      <w:r>
        <w:rPr>
          <w:rStyle w:val="57"/>
          <w:rFonts w:hint="default" w:ascii="仿宋" w:hAnsi="仿宋" w:eastAsia="仿宋" w:cs="仿宋"/>
          <w:b w:val="0"/>
          <w:i w:val="0"/>
          <w:caps w:val="0"/>
          <w:spacing w:val="0"/>
          <w:w w:val="100"/>
          <w:kern w:val="2"/>
          <w:sz w:val="28"/>
          <w:szCs w:val="28"/>
          <w:highlight w:val="none"/>
          <w:lang w:eastAsia="zh-CN" w:bidi="ar-SA"/>
        </w:rPr>
        <w:t>1.在合同期限内，乙方</w:t>
      </w:r>
      <w:r>
        <w:rPr>
          <w:rStyle w:val="57"/>
          <w:rFonts w:hint="eastAsia" w:ascii="仿宋" w:hAnsi="仿宋" w:eastAsia="仿宋" w:cs="仿宋"/>
          <w:b w:val="0"/>
          <w:i w:val="0"/>
          <w:caps w:val="0"/>
          <w:spacing w:val="0"/>
          <w:w w:val="100"/>
          <w:kern w:val="2"/>
          <w:sz w:val="28"/>
          <w:szCs w:val="28"/>
          <w:highlight w:val="none"/>
          <w:lang w:val="en-US" w:eastAsia="zh-CN" w:bidi="ar-SA"/>
        </w:rPr>
        <w:t>有权要求甲方及时提供使用场地的主要设备。</w:t>
      </w:r>
    </w:p>
    <w:p w14:paraId="326B4D2C">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eastAsia" w:ascii="仿宋" w:hAnsi="仿宋" w:eastAsia="仿宋" w:cs="仿宋"/>
          <w:b w:val="0"/>
          <w:i w:val="0"/>
          <w:caps w:val="0"/>
          <w:spacing w:val="0"/>
          <w:w w:val="100"/>
          <w:kern w:val="2"/>
          <w:sz w:val="28"/>
          <w:szCs w:val="28"/>
          <w:highlight w:val="none"/>
          <w:lang w:val="en-US" w:eastAsia="zh-CN" w:bidi="ar-SA"/>
        </w:rPr>
      </w:pPr>
      <w:r>
        <w:rPr>
          <w:rStyle w:val="57"/>
          <w:rFonts w:hint="default" w:ascii="仿宋" w:hAnsi="仿宋" w:eastAsia="仿宋" w:cs="仿宋"/>
          <w:b w:val="0"/>
          <w:i w:val="0"/>
          <w:caps w:val="0"/>
          <w:spacing w:val="0"/>
          <w:w w:val="100"/>
          <w:kern w:val="2"/>
          <w:sz w:val="28"/>
          <w:szCs w:val="28"/>
          <w:highlight w:val="none"/>
          <w:lang w:eastAsia="zh-CN" w:bidi="ar-SA"/>
        </w:rPr>
        <w:t>2.</w:t>
      </w:r>
      <w:r>
        <w:rPr>
          <w:rStyle w:val="57"/>
          <w:rFonts w:hint="eastAsia" w:ascii="仿宋" w:hAnsi="仿宋" w:eastAsia="仿宋" w:cs="仿宋"/>
          <w:b w:val="0"/>
          <w:i w:val="0"/>
          <w:caps w:val="0"/>
          <w:spacing w:val="0"/>
          <w:w w:val="100"/>
          <w:kern w:val="2"/>
          <w:sz w:val="28"/>
          <w:szCs w:val="28"/>
          <w:highlight w:val="none"/>
          <w:lang w:val="en-US" w:eastAsia="zh-CN" w:bidi="ar-SA"/>
        </w:rPr>
        <w:t>在合同期限内，在食品质量、卫生标准、服务质量等方面接受甲方的监督管理，并以书面形式作出相关的服务承诺。</w:t>
      </w:r>
    </w:p>
    <w:p w14:paraId="09C4393F">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eastAsia" w:ascii="仿宋" w:hAnsi="仿宋" w:eastAsia="仿宋" w:cs="仿宋"/>
          <w:b w:val="0"/>
          <w:i w:val="0"/>
          <w:caps w:val="0"/>
          <w:spacing w:val="0"/>
          <w:w w:val="100"/>
          <w:kern w:val="2"/>
          <w:sz w:val="28"/>
          <w:szCs w:val="28"/>
          <w:highlight w:val="none"/>
          <w:lang w:val="en-US" w:eastAsia="zh-CN" w:bidi="ar-SA"/>
        </w:rPr>
      </w:pPr>
      <w:r>
        <w:rPr>
          <w:rStyle w:val="57"/>
          <w:rFonts w:hint="default" w:ascii="仿宋" w:hAnsi="仿宋" w:eastAsia="仿宋" w:cs="仿宋"/>
          <w:b w:val="0"/>
          <w:i w:val="0"/>
          <w:caps w:val="0"/>
          <w:spacing w:val="0"/>
          <w:w w:val="100"/>
          <w:kern w:val="2"/>
          <w:sz w:val="28"/>
          <w:szCs w:val="28"/>
          <w:highlight w:val="none"/>
          <w:lang w:eastAsia="zh-CN" w:bidi="ar-SA"/>
        </w:rPr>
        <w:t>3.</w:t>
      </w:r>
      <w:r>
        <w:rPr>
          <w:rStyle w:val="57"/>
          <w:rFonts w:hint="eastAsia" w:ascii="仿宋" w:hAnsi="仿宋" w:eastAsia="仿宋" w:cs="仿宋"/>
          <w:b w:val="0"/>
          <w:i w:val="0"/>
          <w:caps w:val="0"/>
          <w:spacing w:val="0"/>
          <w:w w:val="100"/>
          <w:kern w:val="2"/>
          <w:sz w:val="28"/>
          <w:szCs w:val="28"/>
          <w:highlight w:val="none"/>
          <w:lang w:val="en-US" w:eastAsia="zh-CN" w:bidi="ar-SA"/>
        </w:rPr>
        <w:t>承担</w:t>
      </w:r>
      <w:r>
        <w:rPr>
          <w:rStyle w:val="57"/>
          <w:rFonts w:hint="default" w:ascii="仿宋" w:hAnsi="仿宋" w:eastAsia="仿宋" w:cs="仿宋"/>
          <w:b w:val="0"/>
          <w:i w:val="0"/>
          <w:caps w:val="0"/>
          <w:spacing w:val="0"/>
          <w:w w:val="100"/>
          <w:kern w:val="2"/>
          <w:sz w:val="28"/>
          <w:szCs w:val="28"/>
          <w:highlight w:val="none"/>
          <w:lang w:eastAsia="zh-CN" w:bidi="ar-SA"/>
        </w:rPr>
        <w:t>本</w:t>
      </w:r>
      <w:r>
        <w:rPr>
          <w:rStyle w:val="57"/>
          <w:rFonts w:hint="eastAsia" w:ascii="仿宋" w:hAnsi="仿宋" w:eastAsia="仿宋" w:cs="仿宋"/>
          <w:b w:val="0"/>
          <w:i w:val="0"/>
          <w:caps w:val="0"/>
          <w:spacing w:val="0"/>
          <w:w w:val="100"/>
          <w:kern w:val="2"/>
          <w:sz w:val="28"/>
          <w:szCs w:val="28"/>
          <w:highlight w:val="none"/>
          <w:lang w:val="en-US" w:eastAsia="zh-CN" w:bidi="ar-SA"/>
        </w:rPr>
        <w:t>项目有关办公费用、营业税金等，员工养老、失业、医疗、工伤、纳税等保险及劳保、工资、福利、食宿、交通等费用，按深圳市劳动法规的相关规定，为所有选派到本项目的工作人员办理工伤、养老等保险并签定劳动合同。</w:t>
      </w:r>
    </w:p>
    <w:p w14:paraId="3E60B6A0">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eastAsia" w:ascii="仿宋" w:hAnsi="仿宋" w:eastAsia="仿宋" w:cs="仿宋"/>
          <w:b w:val="0"/>
          <w:i w:val="0"/>
          <w:caps w:val="0"/>
          <w:spacing w:val="0"/>
          <w:w w:val="100"/>
          <w:kern w:val="2"/>
          <w:sz w:val="28"/>
          <w:szCs w:val="28"/>
          <w:highlight w:val="none"/>
          <w:lang w:val="en-US" w:eastAsia="zh-CN" w:bidi="ar-SA"/>
        </w:rPr>
      </w:pPr>
      <w:r>
        <w:rPr>
          <w:rStyle w:val="57"/>
          <w:rFonts w:hint="default" w:ascii="仿宋" w:hAnsi="仿宋" w:eastAsia="仿宋" w:cs="仿宋"/>
          <w:b w:val="0"/>
          <w:i w:val="0"/>
          <w:caps w:val="0"/>
          <w:spacing w:val="0"/>
          <w:w w:val="100"/>
          <w:kern w:val="2"/>
          <w:sz w:val="28"/>
          <w:szCs w:val="28"/>
          <w:highlight w:val="none"/>
          <w:lang w:eastAsia="zh-CN" w:bidi="ar-SA"/>
        </w:rPr>
        <w:t>4.</w:t>
      </w:r>
      <w:r>
        <w:rPr>
          <w:rStyle w:val="57"/>
          <w:rFonts w:hint="eastAsia" w:ascii="仿宋" w:hAnsi="仿宋" w:eastAsia="仿宋" w:cs="仿宋"/>
          <w:b w:val="0"/>
          <w:i w:val="0"/>
          <w:caps w:val="0"/>
          <w:spacing w:val="0"/>
          <w:w w:val="100"/>
          <w:kern w:val="2"/>
          <w:sz w:val="28"/>
          <w:szCs w:val="28"/>
          <w:highlight w:val="none"/>
          <w:lang w:val="en-US" w:eastAsia="zh-CN" w:bidi="ar-SA"/>
        </w:rPr>
        <w:t>合理使用和维护餐厅设备和水电设施等，制定食堂设备的日常维护标准并严格执行，节约使用水、电、燃料。如因乙方员工人为因素造成甲方提供的就餐场地、设备、用具及物品损害，需承担维修和赔偿责任。</w:t>
      </w:r>
    </w:p>
    <w:p w14:paraId="2606C12E">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eastAsia" w:ascii="仿宋" w:hAnsi="仿宋" w:eastAsia="仿宋" w:cs="仿宋"/>
          <w:b w:val="0"/>
          <w:i w:val="0"/>
          <w:caps w:val="0"/>
          <w:spacing w:val="0"/>
          <w:w w:val="100"/>
          <w:kern w:val="2"/>
          <w:sz w:val="28"/>
          <w:szCs w:val="28"/>
          <w:highlight w:val="none"/>
          <w:lang w:val="en-US" w:eastAsia="zh-CN" w:bidi="ar-SA"/>
        </w:rPr>
      </w:pPr>
      <w:r>
        <w:rPr>
          <w:rStyle w:val="57"/>
          <w:rFonts w:hint="default" w:ascii="仿宋" w:hAnsi="仿宋" w:eastAsia="仿宋" w:cs="仿宋"/>
          <w:b w:val="0"/>
          <w:i w:val="0"/>
          <w:caps w:val="0"/>
          <w:spacing w:val="0"/>
          <w:w w:val="100"/>
          <w:kern w:val="2"/>
          <w:sz w:val="28"/>
          <w:szCs w:val="28"/>
          <w:highlight w:val="none"/>
          <w:lang w:eastAsia="zh-CN" w:bidi="ar-SA"/>
        </w:rPr>
        <w:t>5.</w:t>
      </w:r>
      <w:r>
        <w:rPr>
          <w:rStyle w:val="57"/>
          <w:rFonts w:hint="eastAsia" w:ascii="仿宋" w:hAnsi="仿宋" w:eastAsia="仿宋" w:cs="仿宋"/>
          <w:b w:val="0"/>
          <w:i w:val="0"/>
          <w:caps w:val="0"/>
          <w:spacing w:val="0"/>
          <w:w w:val="100"/>
          <w:kern w:val="2"/>
          <w:sz w:val="28"/>
          <w:szCs w:val="28"/>
          <w:highlight w:val="none"/>
          <w:lang w:val="en-US" w:eastAsia="zh-CN" w:bidi="ar-SA"/>
        </w:rPr>
        <w:t>乙方工作人员须持由有资质卫生医疗机构出具的有效健康证上岗，严格按《食品安全法》有关要求组织生产，保证货品质量及食品卫生。</w:t>
      </w:r>
    </w:p>
    <w:p w14:paraId="44AD5A81">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eastAsia" w:ascii="仿宋" w:hAnsi="仿宋" w:eastAsia="仿宋" w:cs="仿宋"/>
          <w:b w:val="0"/>
          <w:i w:val="0"/>
          <w:caps w:val="0"/>
          <w:spacing w:val="0"/>
          <w:w w:val="100"/>
          <w:kern w:val="2"/>
          <w:sz w:val="28"/>
          <w:szCs w:val="28"/>
          <w:highlight w:val="none"/>
          <w:lang w:val="en-US" w:eastAsia="zh-CN" w:bidi="ar-SA"/>
        </w:rPr>
      </w:pPr>
      <w:r>
        <w:rPr>
          <w:rStyle w:val="57"/>
          <w:rFonts w:hint="default" w:ascii="仿宋" w:hAnsi="仿宋" w:eastAsia="仿宋" w:cs="仿宋"/>
          <w:b w:val="0"/>
          <w:i w:val="0"/>
          <w:caps w:val="0"/>
          <w:spacing w:val="0"/>
          <w:w w:val="100"/>
          <w:kern w:val="2"/>
          <w:sz w:val="28"/>
          <w:szCs w:val="28"/>
          <w:highlight w:val="none"/>
          <w:lang w:eastAsia="zh-CN" w:bidi="ar-SA"/>
        </w:rPr>
        <w:t>6.</w:t>
      </w:r>
      <w:r>
        <w:rPr>
          <w:rStyle w:val="57"/>
          <w:rFonts w:hint="eastAsia" w:ascii="仿宋" w:hAnsi="仿宋" w:eastAsia="仿宋" w:cs="仿宋"/>
          <w:b w:val="0"/>
          <w:i w:val="0"/>
          <w:caps w:val="0"/>
          <w:spacing w:val="0"/>
          <w:w w:val="100"/>
          <w:kern w:val="2"/>
          <w:sz w:val="28"/>
          <w:szCs w:val="28"/>
          <w:highlight w:val="none"/>
          <w:lang w:val="en-US" w:eastAsia="zh-CN" w:bidi="ar-SA"/>
        </w:rPr>
        <w:t>乙方应保持餐饮项目就餐场地的清洁卫生（包括地面、台面、配餐台的设施设备及下水管道等），餐后乙方应将餐具用品、剩饭、剩菜等及时运离供餐现场并将现场清理干净。</w:t>
      </w:r>
    </w:p>
    <w:p w14:paraId="6F9E8F4C">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eastAsia" w:ascii="仿宋" w:hAnsi="仿宋" w:eastAsia="仿宋" w:cs="仿宋"/>
          <w:b w:val="0"/>
          <w:i w:val="0"/>
          <w:caps w:val="0"/>
          <w:spacing w:val="0"/>
          <w:w w:val="100"/>
          <w:kern w:val="2"/>
          <w:sz w:val="28"/>
          <w:szCs w:val="28"/>
          <w:highlight w:val="none"/>
          <w:lang w:val="en-US" w:eastAsia="zh-CN" w:bidi="ar-SA"/>
        </w:rPr>
      </w:pPr>
      <w:r>
        <w:rPr>
          <w:rStyle w:val="57"/>
          <w:rFonts w:hint="default" w:ascii="仿宋" w:hAnsi="仿宋" w:eastAsia="仿宋" w:cs="仿宋"/>
          <w:b w:val="0"/>
          <w:i w:val="0"/>
          <w:caps w:val="0"/>
          <w:spacing w:val="0"/>
          <w:w w:val="100"/>
          <w:kern w:val="2"/>
          <w:sz w:val="28"/>
          <w:szCs w:val="28"/>
          <w:highlight w:val="none"/>
          <w:lang w:eastAsia="zh-CN" w:bidi="ar-SA"/>
        </w:rPr>
        <w:t>7.</w:t>
      </w:r>
      <w:r>
        <w:rPr>
          <w:rStyle w:val="57"/>
          <w:rFonts w:hint="eastAsia" w:ascii="仿宋" w:hAnsi="仿宋" w:eastAsia="仿宋" w:cs="仿宋"/>
          <w:b w:val="0"/>
          <w:i w:val="0"/>
          <w:caps w:val="0"/>
          <w:spacing w:val="0"/>
          <w:w w:val="100"/>
          <w:kern w:val="2"/>
          <w:sz w:val="28"/>
          <w:szCs w:val="28"/>
          <w:highlight w:val="none"/>
          <w:lang w:val="en-US" w:eastAsia="zh-CN" w:bidi="ar-SA"/>
        </w:rPr>
        <w:t>乙方因原材料加工、制作过程出现问题而导致的食物中毒应由乙方负责。</w:t>
      </w:r>
    </w:p>
    <w:p w14:paraId="229E81DD">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default" w:ascii="仿宋" w:hAnsi="仿宋" w:eastAsia="仿宋" w:cs="仿宋"/>
          <w:b w:val="0"/>
          <w:i w:val="0"/>
          <w:caps w:val="0"/>
          <w:spacing w:val="0"/>
          <w:w w:val="100"/>
          <w:kern w:val="2"/>
          <w:sz w:val="28"/>
          <w:szCs w:val="28"/>
          <w:highlight w:val="none"/>
          <w:lang w:eastAsia="zh-CN" w:bidi="ar-SA"/>
        </w:rPr>
      </w:pPr>
      <w:r>
        <w:rPr>
          <w:rStyle w:val="57"/>
          <w:rFonts w:hint="default" w:ascii="仿宋" w:hAnsi="仿宋" w:eastAsia="仿宋" w:cs="仿宋"/>
          <w:b w:val="0"/>
          <w:i w:val="0"/>
          <w:caps w:val="0"/>
          <w:spacing w:val="0"/>
          <w:w w:val="100"/>
          <w:kern w:val="2"/>
          <w:sz w:val="28"/>
          <w:szCs w:val="28"/>
          <w:highlight w:val="none"/>
          <w:lang w:eastAsia="zh-CN" w:bidi="ar-SA"/>
        </w:rPr>
        <w:t>8.</w:t>
      </w:r>
      <w:r>
        <w:rPr>
          <w:rStyle w:val="57"/>
          <w:rFonts w:hint="eastAsia" w:ascii="仿宋" w:hAnsi="仿宋" w:eastAsia="仿宋" w:cs="仿宋"/>
          <w:b w:val="0"/>
          <w:i w:val="0"/>
          <w:caps w:val="0"/>
          <w:spacing w:val="0"/>
          <w:w w:val="100"/>
          <w:kern w:val="2"/>
          <w:sz w:val="28"/>
          <w:szCs w:val="28"/>
          <w:highlight w:val="none"/>
          <w:lang w:val="en-US" w:eastAsia="zh-CN" w:bidi="ar-SA"/>
        </w:rPr>
        <w:t>乙方派驻甲方食堂人员配备、岗位职责及资质</w:t>
      </w:r>
      <w:r>
        <w:rPr>
          <w:rStyle w:val="57"/>
          <w:rFonts w:hint="default" w:ascii="仿宋" w:hAnsi="仿宋" w:eastAsia="仿宋" w:cs="仿宋"/>
          <w:b w:val="0"/>
          <w:i w:val="0"/>
          <w:caps w:val="0"/>
          <w:spacing w:val="0"/>
          <w:w w:val="100"/>
          <w:kern w:val="2"/>
          <w:sz w:val="28"/>
          <w:szCs w:val="28"/>
          <w:highlight w:val="none"/>
          <w:lang w:eastAsia="zh-CN" w:bidi="ar-SA"/>
        </w:rPr>
        <w:t>要严格按照招标文件</w:t>
      </w:r>
      <w:r>
        <w:rPr>
          <w:rStyle w:val="57"/>
          <w:rFonts w:hint="eastAsia" w:ascii="仿宋" w:hAnsi="仿宋" w:eastAsia="仿宋" w:cs="仿宋"/>
          <w:b w:val="0"/>
          <w:i w:val="0"/>
          <w:caps w:val="0"/>
          <w:spacing w:val="0"/>
          <w:w w:val="100"/>
          <w:kern w:val="2"/>
          <w:sz w:val="28"/>
          <w:szCs w:val="28"/>
          <w:highlight w:val="none"/>
          <w:lang w:val="en-US" w:eastAsia="zh-CN" w:bidi="ar-SA"/>
        </w:rPr>
        <w:t>要求</w:t>
      </w:r>
      <w:r>
        <w:rPr>
          <w:rStyle w:val="57"/>
          <w:rFonts w:hint="default" w:ascii="仿宋" w:hAnsi="仿宋" w:eastAsia="仿宋" w:cs="仿宋"/>
          <w:b w:val="0"/>
          <w:i w:val="0"/>
          <w:caps w:val="0"/>
          <w:spacing w:val="0"/>
          <w:w w:val="100"/>
          <w:kern w:val="2"/>
          <w:sz w:val="28"/>
          <w:szCs w:val="28"/>
          <w:highlight w:val="none"/>
          <w:lang w:eastAsia="zh-CN" w:bidi="ar-SA"/>
        </w:rPr>
        <w:t>执行，乙方要作出承诺并确定常驻管理人员名单，确保食堂安全高效、高质量管理。</w:t>
      </w:r>
    </w:p>
    <w:p w14:paraId="2039DCC1">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eastAsia" w:ascii="仿宋" w:hAnsi="仿宋" w:eastAsia="仿宋" w:cs="仿宋"/>
          <w:b w:val="0"/>
          <w:i w:val="0"/>
          <w:caps w:val="0"/>
          <w:spacing w:val="0"/>
          <w:w w:val="100"/>
          <w:kern w:val="2"/>
          <w:sz w:val="28"/>
          <w:szCs w:val="28"/>
          <w:highlight w:val="none"/>
          <w:lang w:val="en-US" w:eastAsia="zh-CN" w:bidi="ar-SA"/>
        </w:rPr>
      </w:pPr>
      <w:r>
        <w:rPr>
          <w:rStyle w:val="57"/>
          <w:rFonts w:hint="default" w:ascii="仿宋" w:hAnsi="仿宋" w:eastAsia="仿宋" w:cs="仿宋"/>
          <w:b w:val="0"/>
          <w:i w:val="0"/>
          <w:caps w:val="0"/>
          <w:spacing w:val="0"/>
          <w:w w:val="100"/>
          <w:kern w:val="2"/>
          <w:sz w:val="28"/>
          <w:szCs w:val="28"/>
          <w:highlight w:val="none"/>
          <w:lang w:eastAsia="zh-CN" w:bidi="ar-SA"/>
        </w:rPr>
        <w:t>9.</w:t>
      </w:r>
      <w:r>
        <w:rPr>
          <w:rStyle w:val="57"/>
          <w:rFonts w:hint="eastAsia" w:ascii="仿宋" w:hAnsi="仿宋" w:eastAsia="仿宋" w:cs="仿宋"/>
          <w:b w:val="0"/>
          <w:i w:val="0"/>
          <w:caps w:val="0"/>
          <w:spacing w:val="0"/>
          <w:w w:val="100"/>
          <w:kern w:val="2"/>
          <w:sz w:val="28"/>
          <w:szCs w:val="28"/>
          <w:highlight w:val="none"/>
          <w:lang w:val="en-US" w:eastAsia="zh-CN" w:bidi="ar-SA"/>
        </w:rPr>
        <w:t>乙方</w:t>
      </w:r>
      <w:r>
        <w:rPr>
          <w:rStyle w:val="57"/>
          <w:rFonts w:hint="default" w:ascii="仿宋" w:hAnsi="仿宋" w:eastAsia="仿宋" w:cs="仿宋"/>
          <w:b w:val="0"/>
          <w:i w:val="0"/>
          <w:caps w:val="0"/>
          <w:spacing w:val="0"/>
          <w:w w:val="100"/>
          <w:kern w:val="2"/>
          <w:sz w:val="28"/>
          <w:szCs w:val="28"/>
          <w:highlight w:val="none"/>
          <w:lang w:eastAsia="zh-CN" w:bidi="ar-SA"/>
        </w:rPr>
        <w:t>驻场人员的</w:t>
      </w:r>
      <w:r>
        <w:rPr>
          <w:rStyle w:val="57"/>
          <w:rFonts w:hint="eastAsia" w:ascii="仿宋" w:hAnsi="仿宋" w:eastAsia="仿宋" w:cs="仿宋"/>
          <w:b w:val="0"/>
          <w:i w:val="0"/>
          <w:caps w:val="0"/>
          <w:spacing w:val="0"/>
          <w:w w:val="100"/>
          <w:kern w:val="2"/>
          <w:sz w:val="28"/>
          <w:szCs w:val="28"/>
          <w:highlight w:val="none"/>
          <w:lang w:val="en-US" w:eastAsia="zh-CN" w:bidi="ar-SA"/>
        </w:rPr>
        <w:t>工作服、鞋、帽、工衣日常清洗以及员工劳保用品等均由乙方自理。乙方</w:t>
      </w:r>
      <w:r>
        <w:rPr>
          <w:rStyle w:val="57"/>
          <w:rFonts w:hint="default" w:ascii="仿宋" w:hAnsi="仿宋" w:eastAsia="仿宋" w:cs="仿宋"/>
          <w:b w:val="0"/>
          <w:i w:val="0"/>
          <w:caps w:val="0"/>
          <w:spacing w:val="0"/>
          <w:w w:val="100"/>
          <w:kern w:val="2"/>
          <w:sz w:val="28"/>
          <w:szCs w:val="28"/>
          <w:highlight w:val="none"/>
          <w:lang w:eastAsia="zh-CN" w:bidi="ar-SA"/>
        </w:rPr>
        <w:t>驻场人员</w:t>
      </w:r>
      <w:r>
        <w:rPr>
          <w:rStyle w:val="57"/>
          <w:rFonts w:hint="eastAsia" w:ascii="仿宋" w:hAnsi="仿宋" w:eastAsia="仿宋" w:cs="仿宋"/>
          <w:b w:val="0"/>
          <w:i w:val="0"/>
          <w:caps w:val="0"/>
          <w:spacing w:val="0"/>
          <w:w w:val="100"/>
          <w:kern w:val="2"/>
          <w:sz w:val="28"/>
          <w:szCs w:val="28"/>
          <w:highlight w:val="none"/>
          <w:lang w:val="en-US" w:eastAsia="zh-CN" w:bidi="ar-SA"/>
        </w:rPr>
        <w:t>工作期间必须注重个人仪表，穿工作服上班，统一装束，并保持清洁、整齐、无污渍。</w:t>
      </w:r>
    </w:p>
    <w:p w14:paraId="7B445112">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eastAsia" w:ascii="仿宋" w:hAnsi="仿宋" w:eastAsia="仿宋" w:cs="仿宋"/>
          <w:b w:val="0"/>
          <w:i w:val="0"/>
          <w:caps w:val="0"/>
          <w:spacing w:val="0"/>
          <w:w w:val="100"/>
          <w:kern w:val="2"/>
          <w:sz w:val="28"/>
          <w:szCs w:val="28"/>
          <w:highlight w:val="none"/>
          <w:lang w:val="en-US" w:eastAsia="zh-CN" w:bidi="ar-SA"/>
        </w:rPr>
      </w:pPr>
      <w:r>
        <w:rPr>
          <w:rStyle w:val="57"/>
          <w:rFonts w:hint="default" w:ascii="仿宋" w:hAnsi="仿宋" w:eastAsia="仿宋" w:cs="仿宋"/>
          <w:b w:val="0"/>
          <w:i w:val="0"/>
          <w:caps w:val="0"/>
          <w:spacing w:val="0"/>
          <w:w w:val="100"/>
          <w:kern w:val="2"/>
          <w:sz w:val="28"/>
          <w:szCs w:val="28"/>
          <w:highlight w:val="none"/>
          <w:lang w:eastAsia="zh-CN" w:bidi="ar-SA"/>
        </w:rPr>
        <w:t>10.</w:t>
      </w:r>
      <w:r>
        <w:rPr>
          <w:rStyle w:val="57"/>
          <w:rFonts w:hint="eastAsia" w:ascii="仿宋" w:hAnsi="仿宋" w:eastAsia="仿宋" w:cs="仿宋"/>
          <w:b w:val="0"/>
          <w:i w:val="0"/>
          <w:caps w:val="0"/>
          <w:spacing w:val="0"/>
          <w:w w:val="100"/>
          <w:kern w:val="2"/>
          <w:sz w:val="28"/>
          <w:szCs w:val="28"/>
          <w:highlight w:val="none"/>
          <w:lang w:val="en-US" w:eastAsia="zh-CN" w:bidi="ar-SA"/>
        </w:rPr>
        <w:t>节假日乙方须安排人员按甲方要求运作；如遇特殊情况，甲方有权要求乙方无条件提供膳食保障服务。</w:t>
      </w:r>
    </w:p>
    <w:p w14:paraId="688C7A5D">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default" w:ascii="仿宋" w:hAnsi="仿宋" w:eastAsia="仿宋" w:cs="仿宋"/>
          <w:b w:val="0"/>
          <w:i w:val="0"/>
          <w:caps w:val="0"/>
          <w:spacing w:val="0"/>
          <w:w w:val="100"/>
          <w:kern w:val="2"/>
          <w:sz w:val="28"/>
          <w:szCs w:val="28"/>
          <w:highlight w:val="none"/>
          <w:lang w:eastAsia="zh-CN" w:bidi="ar-SA"/>
        </w:rPr>
      </w:pPr>
      <w:r>
        <w:rPr>
          <w:rStyle w:val="57"/>
          <w:rFonts w:hint="default" w:ascii="仿宋" w:hAnsi="仿宋" w:eastAsia="仿宋" w:cs="仿宋"/>
          <w:b w:val="0"/>
          <w:i w:val="0"/>
          <w:caps w:val="0"/>
          <w:spacing w:val="0"/>
          <w:w w:val="100"/>
          <w:kern w:val="2"/>
          <w:sz w:val="28"/>
          <w:szCs w:val="28"/>
          <w:highlight w:val="none"/>
          <w:lang w:eastAsia="zh-CN" w:bidi="ar-SA"/>
        </w:rPr>
        <w:t>11.</w:t>
      </w:r>
      <w:r>
        <w:rPr>
          <w:rStyle w:val="57"/>
          <w:rFonts w:hint="eastAsia" w:ascii="仿宋" w:hAnsi="仿宋" w:eastAsia="仿宋" w:cs="仿宋"/>
          <w:b w:val="0"/>
          <w:i w:val="0"/>
          <w:caps w:val="0"/>
          <w:spacing w:val="0"/>
          <w:w w:val="100"/>
          <w:kern w:val="2"/>
          <w:sz w:val="28"/>
          <w:szCs w:val="28"/>
          <w:highlight w:val="none"/>
          <w:lang w:val="en-US" w:eastAsia="zh-CN" w:bidi="ar-SA"/>
        </w:rPr>
        <w:t>乙方应遵照甲方的制度进行生产管理，包括考勤制度的建立，操作流程制定、员工离职和违纪处理等</w:t>
      </w:r>
      <w:r>
        <w:rPr>
          <w:rStyle w:val="57"/>
          <w:rFonts w:hint="default" w:ascii="仿宋" w:hAnsi="仿宋" w:eastAsia="仿宋" w:cs="仿宋"/>
          <w:b w:val="0"/>
          <w:i w:val="0"/>
          <w:caps w:val="0"/>
          <w:spacing w:val="0"/>
          <w:w w:val="100"/>
          <w:kern w:val="2"/>
          <w:sz w:val="28"/>
          <w:szCs w:val="28"/>
          <w:highlight w:val="none"/>
          <w:lang w:eastAsia="zh-CN" w:bidi="ar-SA"/>
        </w:rPr>
        <w:t>。</w:t>
      </w:r>
    </w:p>
    <w:p w14:paraId="12542860">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default" w:ascii="仿宋" w:hAnsi="仿宋" w:eastAsia="仿宋" w:cs="仿宋"/>
          <w:b w:val="0"/>
          <w:i w:val="0"/>
          <w:caps w:val="0"/>
          <w:spacing w:val="0"/>
          <w:w w:val="100"/>
          <w:kern w:val="2"/>
          <w:sz w:val="28"/>
          <w:szCs w:val="28"/>
          <w:highlight w:val="none"/>
          <w:lang w:eastAsia="zh-CN" w:bidi="ar-SA"/>
        </w:rPr>
      </w:pPr>
      <w:r>
        <w:rPr>
          <w:rStyle w:val="57"/>
          <w:rFonts w:hint="default" w:ascii="仿宋" w:hAnsi="仿宋" w:eastAsia="仿宋" w:cs="仿宋"/>
          <w:b w:val="0"/>
          <w:i w:val="0"/>
          <w:caps w:val="0"/>
          <w:spacing w:val="0"/>
          <w:w w:val="100"/>
          <w:kern w:val="2"/>
          <w:sz w:val="28"/>
          <w:szCs w:val="28"/>
          <w:highlight w:val="none"/>
          <w:lang w:eastAsia="zh-CN" w:bidi="ar-SA"/>
        </w:rPr>
        <w:t>12.乙方须负责安排所有食堂从业人员每年进行一次定期体检，体检结果报甲方备案，所需费用由乙方自理。</w:t>
      </w:r>
    </w:p>
    <w:p w14:paraId="57F4CF62">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default" w:ascii="仿宋" w:hAnsi="仿宋" w:eastAsia="仿宋" w:cs="仿宋"/>
          <w:b w:val="0"/>
          <w:i w:val="0"/>
          <w:caps w:val="0"/>
          <w:spacing w:val="0"/>
          <w:w w:val="100"/>
          <w:kern w:val="2"/>
          <w:sz w:val="28"/>
          <w:szCs w:val="28"/>
          <w:highlight w:val="none"/>
          <w:lang w:eastAsia="zh-CN" w:bidi="ar-SA"/>
        </w:rPr>
      </w:pPr>
      <w:r>
        <w:rPr>
          <w:rStyle w:val="57"/>
          <w:rFonts w:hint="default" w:ascii="仿宋" w:hAnsi="仿宋" w:eastAsia="仿宋" w:cs="仿宋"/>
          <w:b w:val="0"/>
          <w:i w:val="0"/>
          <w:caps w:val="0"/>
          <w:spacing w:val="0"/>
          <w:w w:val="100"/>
          <w:kern w:val="2"/>
          <w:sz w:val="28"/>
          <w:szCs w:val="28"/>
          <w:highlight w:val="none"/>
          <w:lang w:eastAsia="zh-CN" w:bidi="ar-SA"/>
        </w:rPr>
        <w:t>13.乙方要接受甲方的监督检查，发现问题及时整改。</w:t>
      </w:r>
    </w:p>
    <w:p w14:paraId="3F52E1FE">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default" w:ascii="仿宋" w:hAnsi="仿宋" w:eastAsia="仿宋" w:cs="仿宋"/>
          <w:b w:val="0"/>
          <w:i w:val="0"/>
          <w:caps w:val="0"/>
          <w:spacing w:val="0"/>
          <w:w w:val="100"/>
          <w:kern w:val="2"/>
          <w:sz w:val="28"/>
          <w:szCs w:val="28"/>
          <w:highlight w:val="none"/>
          <w:lang w:val="en-US" w:eastAsia="zh-CN" w:bidi="ar-SA"/>
        </w:rPr>
      </w:pPr>
      <w:r>
        <w:rPr>
          <w:rStyle w:val="57"/>
          <w:rFonts w:hint="default" w:ascii="仿宋" w:hAnsi="仿宋" w:eastAsia="仿宋" w:cs="仿宋"/>
          <w:b w:val="0"/>
          <w:i w:val="0"/>
          <w:caps w:val="0"/>
          <w:spacing w:val="0"/>
          <w:w w:val="100"/>
          <w:kern w:val="2"/>
          <w:sz w:val="28"/>
          <w:szCs w:val="28"/>
          <w:highlight w:val="none"/>
          <w:lang w:val="en-US" w:eastAsia="zh-CN" w:bidi="ar-SA"/>
        </w:rPr>
        <w:t>14.服务范围内因</w:t>
      </w:r>
      <w:r>
        <w:rPr>
          <w:rStyle w:val="57"/>
          <w:rFonts w:hint="default" w:ascii="仿宋" w:hAnsi="仿宋" w:eastAsia="仿宋" w:cs="仿宋"/>
          <w:b w:val="0"/>
          <w:i w:val="0"/>
          <w:caps w:val="0"/>
          <w:spacing w:val="0"/>
          <w:w w:val="100"/>
          <w:kern w:val="2"/>
          <w:sz w:val="28"/>
          <w:szCs w:val="28"/>
          <w:highlight w:val="none"/>
          <w:lang w:eastAsia="zh-CN" w:bidi="ar-SA"/>
        </w:rPr>
        <w:t>乙方</w:t>
      </w:r>
      <w:r>
        <w:rPr>
          <w:rStyle w:val="57"/>
          <w:rFonts w:hint="default" w:ascii="仿宋" w:hAnsi="仿宋" w:eastAsia="仿宋" w:cs="仿宋"/>
          <w:b w:val="0"/>
          <w:i w:val="0"/>
          <w:caps w:val="0"/>
          <w:spacing w:val="0"/>
          <w:w w:val="100"/>
          <w:kern w:val="2"/>
          <w:sz w:val="28"/>
          <w:szCs w:val="28"/>
          <w:highlight w:val="none"/>
          <w:lang w:val="en-US" w:eastAsia="zh-CN" w:bidi="ar-SA"/>
        </w:rPr>
        <w:t>操作失误引起的其它安全事故由</w:t>
      </w:r>
      <w:r>
        <w:rPr>
          <w:rStyle w:val="57"/>
          <w:rFonts w:hint="default" w:ascii="仿宋" w:hAnsi="仿宋" w:eastAsia="仿宋" w:cs="仿宋"/>
          <w:b w:val="0"/>
          <w:i w:val="0"/>
          <w:caps w:val="0"/>
          <w:spacing w:val="0"/>
          <w:w w:val="100"/>
          <w:kern w:val="2"/>
          <w:sz w:val="28"/>
          <w:szCs w:val="28"/>
          <w:highlight w:val="none"/>
          <w:lang w:eastAsia="zh-CN" w:bidi="ar-SA"/>
        </w:rPr>
        <w:t>乙</w:t>
      </w:r>
      <w:r>
        <w:rPr>
          <w:rStyle w:val="57"/>
          <w:rFonts w:hint="default" w:ascii="仿宋" w:hAnsi="仿宋" w:eastAsia="仿宋" w:cs="仿宋"/>
          <w:b w:val="0"/>
          <w:i w:val="0"/>
          <w:caps w:val="0"/>
          <w:spacing w:val="0"/>
          <w:w w:val="100"/>
          <w:kern w:val="2"/>
          <w:sz w:val="28"/>
          <w:szCs w:val="28"/>
          <w:highlight w:val="none"/>
          <w:lang w:val="en-US" w:eastAsia="zh-CN" w:bidi="ar-SA"/>
        </w:rPr>
        <w:t>方负全责。</w:t>
      </w:r>
    </w:p>
    <w:p w14:paraId="392F8556">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default" w:ascii="仿宋" w:hAnsi="仿宋" w:eastAsia="仿宋" w:cs="仿宋"/>
          <w:b w:val="0"/>
          <w:i w:val="0"/>
          <w:caps w:val="0"/>
          <w:spacing w:val="0"/>
          <w:w w:val="100"/>
          <w:kern w:val="2"/>
          <w:sz w:val="28"/>
          <w:szCs w:val="28"/>
          <w:highlight w:val="none"/>
          <w:lang w:val="en-US" w:eastAsia="zh-CN" w:bidi="ar-SA"/>
        </w:rPr>
      </w:pPr>
      <w:r>
        <w:rPr>
          <w:rStyle w:val="57"/>
          <w:rFonts w:hint="default" w:ascii="仿宋" w:hAnsi="仿宋" w:eastAsia="仿宋" w:cs="仿宋"/>
          <w:b w:val="0"/>
          <w:i w:val="0"/>
          <w:caps w:val="0"/>
          <w:spacing w:val="0"/>
          <w:w w:val="100"/>
          <w:kern w:val="2"/>
          <w:sz w:val="28"/>
          <w:szCs w:val="28"/>
          <w:highlight w:val="none"/>
          <w:lang w:val="en-US" w:eastAsia="zh-CN" w:bidi="ar-SA"/>
        </w:rPr>
        <w:t>15.乙方应教导其员工严格按照甲方的工作描述、生产操作规程等质量标准进行工作，如有工伤、经济补偿、劳动争议等情况发生的均由乙方承担。</w:t>
      </w:r>
    </w:p>
    <w:p w14:paraId="22704744">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default" w:ascii="仿宋" w:hAnsi="仿宋" w:eastAsia="仿宋" w:cs="仿宋"/>
          <w:b w:val="0"/>
          <w:i w:val="0"/>
          <w:caps w:val="0"/>
          <w:spacing w:val="0"/>
          <w:w w:val="100"/>
          <w:kern w:val="2"/>
          <w:sz w:val="28"/>
          <w:szCs w:val="28"/>
          <w:highlight w:val="none"/>
          <w:lang w:val="en-US" w:eastAsia="zh-CN" w:bidi="ar-SA"/>
        </w:rPr>
      </w:pPr>
      <w:r>
        <w:rPr>
          <w:rStyle w:val="57"/>
          <w:rFonts w:hint="default" w:ascii="仿宋" w:hAnsi="仿宋" w:eastAsia="仿宋" w:cs="仿宋"/>
          <w:b w:val="0"/>
          <w:i w:val="0"/>
          <w:caps w:val="0"/>
          <w:spacing w:val="0"/>
          <w:w w:val="100"/>
          <w:kern w:val="2"/>
          <w:sz w:val="28"/>
          <w:szCs w:val="28"/>
          <w:highlight w:val="none"/>
          <w:lang w:val="en-US" w:eastAsia="zh-CN" w:bidi="ar-SA"/>
        </w:rPr>
        <w:t>16.乙方人员在工作期间发生工伤，乙方应承担工伤认定申请和劳动能力鉴定申请，</w:t>
      </w:r>
      <w:r>
        <w:rPr>
          <w:rStyle w:val="57"/>
          <w:rFonts w:hint="default" w:ascii="仿宋" w:hAnsi="仿宋" w:eastAsia="仿宋" w:cs="仿宋"/>
          <w:b w:val="0"/>
          <w:i w:val="0"/>
          <w:caps w:val="0"/>
          <w:spacing w:val="0"/>
          <w:w w:val="100"/>
          <w:kern w:val="2"/>
          <w:sz w:val="28"/>
          <w:szCs w:val="28"/>
          <w:highlight w:val="none"/>
          <w:lang w:eastAsia="zh-CN" w:bidi="ar-SA"/>
        </w:rPr>
        <w:t>及时协调人员</w:t>
      </w:r>
      <w:r>
        <w:rPr>
          <w:rStyle w:val="57"/>
          <w:rFonts w:hint="default" w:ascii="仿宋" w:hAnsi="仿宋" w:eastAsia="仿宋" w:cs="仿宋"/>
          <w:b w:val="0"/>
          <w:i w:val="0"/>
          <w:caps w:val="0"/>
          <w:spacing w:val="0"/>
          <w:w w:val="100"/>
          <w:kern w:val="2"/>
          <w:sz w:val="28"/>
          <w:szCs w:val="28"/>
          <w:highlight w:val="none"/>
          <w:lang w:val="en-US" w:eastAsia="zh-CN" w:bidi="ar-SA"/>
        </w:rPr>
        <w:t>工作，甲方应积极配合。工伤认定申请和劳动能力鉴定申请结束后，由乙方按照《中华人民共和国劳动法》《工伤保险条例》等相关法律法规的规定承担责任。</w:t>
      </w:r>
    </w:p>
    <w:p w14:paraId="269401AB">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default" w:ascii="仿宋" w:hAnsi="仿宋" w:eastAsia="仿宋" w:cs="仿宋"/>
          <w:b w:val="0"/>
          <w:i w:val="0"/>
          <w:caps w:val="0"/>
          <w:spacing w:val="0"/>
          <w:w w:val="100"/>
          <w:kern w:val="2"/>
          <w:sz w:val="28"/>
          <w:szCs w:val="28"/>
          <w:highlight w:val="none"/>
          <w:lang w:val="en-US" w:eastAsia="zh-CN" w:bidi="ar-SA"/>
        </w:rPr>
      </w:pPr>
      <w:r>
        <w:rPr>
          <w:rStyle w:val="57"/>
          <w:rFonts w:hint="default" w:ascii="仿宋" w:hAnsi="仿宋" w:eastAsia="仿宋" w:cs="仿宋"/>
          <w:b w:val="0"/>
          <w:i w:val="0"/>
          <w:caps w:val="0"/>
          <w:spacing w:val="0"/>
          <w:w w:val="100"/>
          <w:kern w:val="2"/>
          <w:sz w:val="28"/>
          <w:szCs w:val="28"/>
          <w:highlight w:val="none"/>
          <w:lang w:val="en-US" w:eastAsia="zh-CN" w:bidi="ar-SA"/>
        </w:rPr>
        <w:t>17.乙方在服务期内产生的所有餐厨垃圾，必须严格按《城市生活垃圾管理办法》《餐厨垃圾处理管理办法》规定处置，可降解垃圾经甲方书面同意后可自行堆肥处理，其他垃圾全量交由餐厨垃圾特许经营企业收集、运输、处理；处置费用及违规处罚均由乙方承担。</w:t>
      </w:r>
    </w:p>
    <w:p w14:paraId="325AA036">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default" w:ascii="仿宋" w:hAnsi="仿宋" w:eastAsia="仿宋" w:cs="仿宋"/>
          <w:b w:val="0"/>
          <w:i w:val="0"/>
          <w:caps w:val="0"/>
          <w:spacing w:val="0"/>
          <w:w w:val="100"/>
          <w:kern w:val="2"/>
          <w:sz w:val="28"/>
          <w:szCs w:val="28"/>
          <w:highlight w:val="none"/>
          <w:lang w:val="en-US" w:eastAsia="zh-CN" w:bidi="ar-SA"/>
        </w:rPr>
      </w:pPr>
      <w:r>
        <w:rPr>
          <w:rStyle w:val="57"/>
          <w:rFonts w:hint="default" w:ascii="仿宋" w:hAnsi="仿宋" w:eastAsia="仿宋" w:cs="仿宋"/>
          <w:b w:val="0"/>
          <w:i w:val="0"/>
          <w:caps w:val="0"/>
          <w:spacing w:val="0"/>
          <w:w w:val="100"/>
          <w:kern w:val="2"/>
          <w:sz w:val="28"/>
          <w:szCs w:val="28"/>
          <w:highlight w:val="none"/>
          <w:lang w:val="en-US" w:eastAsia="zh-CN" w:bidi="ar-SA"/>
        </w:rPr>
        <w:t>18.甲方要求乙方提供临时膳食保障服务的，乙方应按照甲方要求做好人员安排，将提供服务人员的名单以及人员服务费用提前提交给甲方备案，在服务完成后及时足额支付提供服务员工的加班费用。</w:t>
      </w:r>
    </w:p>
    <w:p w14:paraId="256C1488">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2" w:firstLineChars="200"/>
        <w:jc w:val="left"/>
        <w:textAlignment w:val="baseline"/>
        <w:rPr>
          <w:rStyle w:val="57"/>
          <w:rFonts w:hint="eastAsia" w:ascii="仿宋" w:hAnsi="仿宋" w:eastAsia="仿宋" w:cs="仿宋"/>
          <w:b/>
          <w:bCs/>
          <w:i w:val="0"/>
          <w:caps w:val="0"/>
          <w:spacing w:val="0"/>
          <w:w w:val="100"/>
          <w:kern w:val="2"/>
          <w:sz w:val="28"/>
          <w:szCs w:val="28"/>
          <w:highlight w:val="none"/>
          <w:lang w:val="en-US" w:eastAsia="zh-CN" w:bidi="ar-SA"/>
        </w:rPr>
      </w:pPr>
      <w:r>
        <w:rPr>
          <w:rStyle w:val="57"/>
          <w:rFonts w:hint="eastAsia" w:ascii="仿宋" w:hAnsi="仿宋" w:eastAsia="仿宋" w:cs="仿宋"/>
          <w:b/>
          <w:bCs/>
          <w:i w:val="0"/>
          <w:caps w:val="0"/>
          <w:spacing w:val="0"/>
          <w:w w:val="100"/>
          <w:kern w:val="2"/>
          <w:sz w:val="28"/>
          <w:szCs w:val="28"/>
          <w:highlight w:val="none"/>
          <w:lang w:val="en-US" w:eastAsia="zh-CN" w:bidi="ar-SA"/>
        </w:rPr>
        <w:t>第</w:t>
      </w:r>
      <w:r>
        <w:rPr>
          <w:rStyle w:val="57"/>
          <w:rFonts w:hint="default" w:ascii="仿宋" w:hAnsi="仿宋" w:eastAsia="仿宋" w:cs="仿宋"/>
          <w:b/>
          <w:bCs/>
          <w:i w:val="0"/>
          <w:caps w:val="0"/>
          <w:spacing w:val="0"/>
          <w:w w:val="100"/>
          <w:kern w:val="2"/>
          <w:sz w:val="28"/>
          <w:szCs w:val="28"/>
          <w:highlight w:val="none"/>
          <w:lang w:val="en-US" w:eastAsia="zh-CN" w:bidi="ar-SA"/>
        </w:rPr>
        <w:t>九</w:t>
      </w:r>
      <w:r>
        <w:rPr>
          <w:rStyle w:val="57"/>
          <w:rFonts w:hint="eastAsia" w:ascii="仿宋" w:hAnsi="仿宋" w:eastAsia="仿宋" w:cs="仿宋"/>
          <w:b/>
          <w:bCs/>
          <w:i w:val="0"/>
          <w:caps w:val="0"/>
          <w:spacing w:val="0"/>
          <w:w w:val="100"/>
          <w:kern w:val="2"/>
          <w:sz w:val="28"/>
          <w:szCs w:val="28"/>
          <w:highlight w:val="none"/>
          <w:lang w:val="en-US" w:eastAsia="zh-CN" w:bidi="ar-SA"/>
        </w:rPr>
        <w:t>条 违约责任</w:t>
      </w:r>
    </w:p>
    <w:p w14:paraId="7DB2D184">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default" w:ascii="仿宋" w:hAnsi="仿宋" w:eastAsia="仿宋" w:cs="仿宋"/>
          <w:b w:val="0"/>
          <w:i w:val="0"/>
          <w:caps w:val="0"/>
          <w:spacing w:val="0"/>
          <w:w w:val="100"/>
          <w:kern w:val="2"/>
          <w:sz w:val="28"/>
          <w:szCs w:val="28"/>
          <w:highlight w:val="none"/>
          <w:lang w:eastAsia="zh-CN" w:bidi="ar-SA"/>
        </w:rPr>
      </w:pPr>
      <w:r>
        <w:rPr>
          <w:rStyle w:val="57"/>
          <w:rFonts w:hint="default" w:ascii="仿宋" w:hAnsi="仿宋" w:eastAsia="仿宋" w:cs="仿宋"/>
          <w:b w:val="0"/>
          <w:i w:val="0"/>
          <w:caps w:val="0"/>
          <w:spacing w:val="0"/>
          <w:w w:val="100"/>
          <w:kern w:val="2"/>
          <w:sz w:val="28"/>
          <w:szCs w:val="28"/>
          <w:highlight w:val="none"/>
          <w:lang w:eastAsia="zh-CN" w:bidi="ar-SA"/>
        </w:rPr>
        <w:t>1.在合同履行期限内，如发生乙方虚假报价的，甲方有权按照超额部分的三倍向乙方收取违约金，并有权提前解除本合同。</w:t>
      </w:r>
    </w:p>
    <w:p w14:paraId="4A9C40B1">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default" w:ascii="仿宋" w:hAnsi="仿宋" w:eastAsia="仿宋" w:cs="仿宋"/>
          <w:b w:val="0"/>
          <w:i w:val="0"/>
          <w:caps w:val="0"/>
          <w:spacing w:val="0"/>
          <w:w w:val="100"/>
          <w:kern w:val="2"/>
          <w:sz w:val="28"/>
          <w:szCs w:val="28"/>
          <w:highlight w:val="none"/>
          <w:lang w:eastAsia="zh-CN" w:bidi="ar-SA"/>
        </w:rPr>
      </w:pPr>
      <w:r>
        <w:rPr>
          <w:rStyle w:val="57"/>
          <w:rFonts w:hint="default" w:ascii="仿宋" w:hAnsi="仿宋" w:eastAsia="仿宋" w:cs="仿宋"/>
          <w:b w:val="0"/>
          <w:i w:val="0"/>
          <w:caps w:val="0"/>
          <w:spacing w:val="0"/>
          <w:w w:val="100"/>
          <w:kern w:val="2"/>
          <w:sz w:val="28"/>
          <w:szCs w:val="28"/>
          <w:highlight w:val="none"/>
          <w:lang w:eastAsia="zh-CN" w:bidi="ar-SA"/>
        </w:rPr>
        <w:t>2.乙方不得将本项目私自转让或委托他人经营，一经发现，可以解除本合同并追究乙方的违约责任，乙方应按照合同总金额20%的标准承担违约责任。</w:t>
      </w:r>
    </w:p>
    <w:p w14:paraId="72F4C6DF">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default" w:ascii="仿宋" w:hAnsi="仿宋" w:eastAsia="仿宋" w:cs="仿宋"/>
          <w:b w:val="0"/>
          <w:i w:val="0"/>
          <w:caps w:val="0"/>
          <w:spacing w:val="0"/>
          <w:w w:val="100"/>
          <w:kern w:val="2"/>
          <w:sz w:val="28"/>
          <w:szCs w:val="28"/>
          <w:highlight w:val="none"/>
          <w:lang w:eastAsia="zh-CN" w:bidi="ar-SA"/>
        </w:rPr>
      </w:pPr>
      <w:r>
        <w:rPr>
          <w:rStyle w:val="57"/>
          <w:rFonts w:hint="default" w:ascii="仿宋" w:hAnsi="仿宋" w:eastAsia="仿宋" w:cs="仿宋"/>
          <w:b w:val="0"/>
          <w:i w:val="0"/>
          <w:caps w:val="0"/>
          <w:spacing w:val="0"/>
          <w:w w:val="100"/>
          <w:kern w:val="2"/>
          <w:sz w:val="28"/>
          <w:szCs w:val="28"/>
          <w:highlight w:val="none"/>
          <w:lang w:eastAsia="zh-CN" w:bidi="ar-SA"/>
        </w:rPr>
        <w:t>3.发现经核查属实有以下情形之一，乙方应承担相应的违约责任：</w:t>
      </w:r>
    </w:p>
    <w:p w14:paraId="4BC121C4">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default" w:ascii="仿宋" w:hAnsi="仿宋" w:eastAsia="仿宋" w:cs="仿宋"/>
          <w:b w:val="0"/>
          <w:i w:val="0"/>
          <w:caps w:val="0"/>
          <w:spacing w:val="0"/>
          <w:w w:val="100"/>
          <w:kern w:val="2"/>
          <w:sz w:val="28"/>
          <w:szCs w:val="28"/>
          <w:highlight w:val="none"/>
          <w:lang w:eastAsia="zh-CN" w:bidi="ar-SA"/>
        </w:rPr>
      </w:pPr>
      <w:r>
        <w:rPr>
          <w:rStyle w:val="57"/>
          <w:rFonts w:hint="default" w:ascii="仿宋" w:hAnsi="仿宋" w:eastAsia="仿宋" w:cs="仿宋"/>
          <w:b w:val="0"/>
          <w:i w:val="0"/>
          <w:caps w:val="0"/>
          <w:spacing w:val="0"/>
          <w:w w:val="100"/>
          <w:kern w:val="2"/>
          <w:sz w:val="28"/>
          <w:szCs w:val="28"/>
          <w:highlight w:val="none"/>
          <w:lang w:eastAsia="zh-CN" w:bidi="ar-SA"/>
        </w:rPr>
        <w:t xml:space="preserve">①甲方在检查中或用餐人员在食物中发现有蟑螂、苍蝇、老鼠屎等，计入考核并责令限期整改，出现一次，乙方支付违约金500元。   </w:t>
      </w:r>
    </w:p>
    <w:p w14:paraId="247EBAB0">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eastAsia" w:ascii="仿宋" w:hAnsi="仿宋" w:eastAsia="仿宋" w:cs="仿宋"/>
          <w:b w:val="0"/>
          <w:i w:val="0"/>
          <w:caps w:val="0"/>
          <w:spacing w:val="0"/>
          <w:w w:val="100"/>
          <w:kern w:val="2"/>
          <w:sz w:val="28"/>
          <w:szCs w:val="28"/>
          <w:highlight w:val="none"/>
          <w:lang w:val="en-US" w:eastAsia="zh-CN" w:bidi="ar-SA"/>
        </w:rPr>
      </w:pPr>
      <w:r>
        <w:rPr>
          <w:rStyle w:val="57"/>
          <w:rFonts w:hint="eastAsia" w:ascii="仿宋" w:hAnsi="仿宋" w:eastAsia="仿宋" w:cs="仿宋"/>
          <w:b w:val="0"/>
          <w:i w:val="0"/>
          <w:caps w:val="0"/>
          <w:spacing w:val="0"/>
          <w:w w:val="100"/>
          <w:kern w:val="2"/>
          <w:sz w:val="28"/>
          <w:szCs w:val="28"/>
          <w:highlight w:val="none"/>
          <w:lang w:val="en-US" w:eastAsia="zh-CN" w:bidi="ar-SA"/>
        </w:rPr>
        <w:t>②甲方在检查中或用餐人员在食物中发现有不可食用异物如：石子、钢丝、头发等，计入考核并责令限期整改。</w:t>
      </w:r>
      <w:r>
        <w:rPr>
          <w:rFonts w:hint="eastAsia" w:ascii="仿宋" w:hAnsi="仿宋" w:eastAsia="仿宋" w:cs="仿宋"/>
          <w:b w:val="0"/>
          <w:i w:val="0"/>
          <w:caps w:val="0"/>
          <w:spacing w:val="0"/>
          <w:w w:val="100"/>
          <w:kern w:val="2"/>
          <w:sz w:val="28"/>
          <w:szCs w:val="28"/>
          <w:highlight w:val="none"/>
          <w:lang w:val="en-US" w:eastAsia="zh-CN" w:bidi="ar-SA"/>
        </w:rPr>
        <w:t>如一个月内</w:t>
      </w:r>
      <w:r>
        <w:rPr>
          <w:rFonts w:hint="default" w:ascii="仿宋" w:hAnsi="仿宋" w:eastAsia="仿宋" w:cs="仿宋"/>
          <w:b w:val="0"/>
          <w:i w:val="0"/>
          <w:caps w:val="0"/>
          <w:spacing w:val="0"/>
          <w:w w:val="100"/>
          <w:kern w:val="2"/>
          <w:sz w:val="28"/>
          <w:szCs w:val="28"/>
          <w:highlight w:val="none"/>
          <w:lang w:eastAsia="zh-CN" w:bidi="ar-SA"/>
        </w:rPr>
        <w:t>累计</w:t>
      </w:r>
      <w:r>
        <w:rPr>
          <w:rFonts w:hint="eastAsia" w:ascii="仿宋" w:hAnsi="仿宋" w:eastAsia="仿宋" w:cs="仿宋"/>
          <w:b w:val="0"/>
          <w:i w:val="0"/>
          <w:caps w:val="0"/>
          <w:spacing w:val="0"/>
          <w:w w:val="100"/>
          <w:kern w:val="2"/>
          <w:sz w:val="28"/>
          <w:szCs w:val="28"/>
          <w:highlight w:val="none"/>
          <w:lang w:val="en-US" w:eastAsia="zh-CN" w:bidi="ar-SA"/>
        </w:rPr>
        <w:t>出现三次，乙方支付违约金500元。</w:t>
      </w:r>
    </w:p>
    <w:p w14:paraId="3BDF14EE">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eastAsia" w:ascii="仿宋" w:hAnsi="仿宋" w:eastAsia="仿宋" w:cs="仿宋"/>
          <w:b w:val="0"/>
          <w:i w:val="0"/>
          <w:caps w:val="0"/>
          <w:spacing w:val="0"/>
          <w:w w:val="100"/>
          <w:kern w:val="2"/>
          <w:sz w:val="28"/>
          <w:szCs w:val="28"/>
          <w:highlight w:val="none"/>
          <w:lang w:val="en-US" w:eastAsia="zh-CN" w:bidi="ar-SA"/>
        </w:rPr>
      </w:pPr>
      <w:r>
        <w:rPr>
          <w:rStyle w:val="57"/>
          <w:rFonts w:hint="eastAsia" w:ascii="仿宋" w:hAnsi="仿宋" w:eastAsia="仿宋" w:cs="仿宋"/>
          <w:b w:val="0"/>
          <w:i w:val="0"/>
          <w:caps w:val="0"/>
          <w:spacing w:val="0"/>
          <w:w w:val="100"/>
          <w:kern w:val="2"/>
          <w:sz w:val="28"/>
          <w:szCs w:val="28"/>
          <w:highlight w:val="none"/>
          <w:lang w:val="en-US" w:eastAsia="zh-CN" w:bidi="ar-SA"/>
        </w:rPr>
        <w:t>③甲方食堂餐厨垃圾实行分类管理，对乙方管理的食堂操作现场有权进行定期与不定期卫生检查；检查不合格的，未达标情况较严重的予以通报批评，责令乙方限期整改直至合格。</w:t>
      </w:r>
    </w:p>
    <w:p w14:paraId="35A863DD">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default" w:ascii="仿宋" w:hAnsi="仿宋" w:eastAsia="仿宋" w:cs="仿宋"/>
          <w:b w:val="0"/>
          <w:i w:val="0"/>
          <w:caps w:val="0"/>
          <w:spacing w:val="0"/>
          <w:w w:val="100"/>
          <w:kern w:val="2"/>
          <w:sz w:val="28"/>
          <w:szCs w:val="28"/>
          <w:highlight w:val="none"/>
          <w:lang w:eastAsia="zh-CN" w:bidi="ar-SA"/>
        </w:rPr>
      </w:pPr>
      <w:r>
        <w:rPr>
          <w:rStyle w:val="57"/>
          <w:rFonts w:hint="default" w:ascii="仿宋" w:hAnsi="仿宋" w:eastAsia="仿宋" w:cs="仿宋"/>
          <w:b w:val="0"/>
          <w:i w:val="0"/>
          <w:caps w:val="0"/>
          <w:spacing w:val="0"/>
          <w:w w:val="100"/>
          <w:kern w:val="2"/>
          <w:sz w:val="28"/>
          <w:szCs w:val="28"/>
          <w:highlight w:val="none"/>
          <w:lang w:eastAsia="zh-CN" w:bidi="ar-SA"/>
        </w:rPr>
        <w:t>4.如甲方发现乙方未履行第八条第6款的义务或经甲方检查不合格，甲方有权责令乙方立即整改。因卫生问题发生合理有效投诉，每一单乙方支付违约金500元人民币。</w:t>
      </w:r>
    </w:p>
    <w:p w14:paraId="65802A2B">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default" w:ascii="仿宋" w:hAnsi="仿宋" w:eastAsia="仿宋" w:cs="仿宋"/>
          <w:b w:val="0"/>
          <w:i w:val="0"/>
          <w:caps w:val="0"/>
          <w:spacing w:val="0"/>
          <w:w w:val="100"/>
          <w:kern w:val="2"/>
          <w:sz w:val="28"/>
          <w:szCs w:val="28"/>
          <w:highlight w:val="none"/>
          <w:lang w:eastAsia="zh-CN" w:bidi="ar-SA"/>
        </w:rPr>
      </w:pPr>
      <w:r>
        <w:rPr>
          <w:rStyle w:val="57"/>
          <w:rFonts w:hint="default" w:ascii="仿宋" w:hAnsi="仿宋" w:eastAsia="仿宋" w:cs="仿宋"/>
          <w:b w:val="0"/>
          <w:i w:val="0"/>
          <w:caps w:val="0"/>
          <w:spacing w:val="0"/>
          <w:w w:val="100"/>
          <w:kern w:val="2"/>
          <w:sz w:val="28"/>
          <w:szCs w:val="28"/>
          <w:highlight w:val="none"/>
          <w:lang w:eastAsia="zh-CN" w:bidi="ar-SA"/>
        </w:rPr>
        <w:t>5.乙方不得擅自拖欠其员工工资或没收员工任何形式的押金、保函等，如因乙方的劳动纠纷降低了服务标准或影响了甲方形象的，每发现一次，乙方支付违约金1000元人民币，并限期改正。</w:t>
      </w:r>
    </w:p>
    <w:p w14:paraId="015A3C77">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default" w:ascii="仿宋" w:hAnsi="仿宋" w:eastAsia="仿宋" w:cs="仿宋"/>
          <w:b w:val="0"/>
          <w:i w:val="0"/>
          <w:caps w:val="0"/>
          <w:spacing w:val="0"/>
          <w:w w:val="100"/>
          <w:kern w:val="2"/>
          <w:sz w:val="28"/>
          <w:szCs w:val="28"/>
          <w:highlight w:val="none"/>
          <w:lang w:eastAsia="zh-CN" w:bidi="ar-SA"/>
        </w:rPr>
      </w:pPr>
      <w:r>
        <w:rPr>
          <w:rStyle w:val="57"/>
          <w:rFonts w:hint="default" w:ascii="仿宋" w:hAnsi="仿宋" w:eastAsia="仿宋" w:cs="仿宋"/>
          <w:b w:val="0"/>
          <w:i w:val="0"/>
          <w:caps w:val="0"/>
          <w:spacing w:val="0"/>
          <w:w w:val="100"/>
          <w:kern w:val="2"/>
          <w:sz w:val="28"/>
          <w:szCs w:val="28"/>
          <w:highlight w:val="none"/>
          <w:lang w:eastAsia="zh-CN" w:bidi="ar-SA"/>
        </w:rPr>
        <w:t>6.乙方应教育好自己的员工，无正当原因不得与就餐人员发生打闹或其他形式的争吵，否则每发现一次乙方支付违约金500元人民币。</w:t>
      </w:r>
    </w:p>
    <w:p w14:paraId="78092AF9">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default" w:ascii="仿宋" w:hAnsi="仿宋" w:eastAsia="仿宋" w:cs="仿宋"/>
          <w:b w:val="0"/>
          <w:i w:val="0"/>
          <w:caps w:val="0"/>
          <w:spacing w:val="0"/>
          <w:w w:val="100"/>
          <w:kern w:val="2"/>
          <w:sz w:val="28"/>
          <w:szCs w:val="28"/>
          <w:highlight w:val="none"/>
          <w:lang w:eastAsia="zh-CN" w:bidi="ar-SA"/>
        </w:rPr>
      </w:pPr>
      <w:r>
        <w:rPr>
          <w:rStyle w:val="57"/>
          <w:rFonts w:hint="default" w:ascii="仿宋" w:hAnsi="仿宋" w:eastAsia="仿宋" w:cs="仿宋"/>
          <w:b w:val="0"/>
          <w:i w:val="0"/>
          <w:caps w:val="0"/>
          <w:spacing w:val="0"/>
          <w:w w:val="100"/>
          <w:kern w:val="2"/>
          <w:sz w:val="28"/>
          <w:szCs w:val="28"/>
          <w:highlight w:val="none"/>
          <w:lang w:eastAsia="zh-CN" w:bidi="ar-SA"/>
        </w:rPr>
        <w:t>7.合同期间内，如因不可抗力造成停水、停电、停天燃气（非乙方原因）而引起的延迟开餐或不开餐，乙方不承担责任。如因乙方原因未能准时开餐的，超过规定时间20分钟以内给予警告，再次发生同样情形的每次乙方支付违约金1000元；超过规定时间20分钟以上，30分钟以内的，每次乙方支付违约金3000元；超过30分钟以上的，甲方有权就乙方提供的履约银行保函主张索赔并且解除合同。</w:t>
      </w:r>
    </w:p>
    <w:p w14:paraId="0D3DEF7C">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default" w:ascii="仿宋" w:hAnsi="仿宋" w:eastAsia="仿宋" w:cs="仿宋"/>
          <w:b w:val="0"/>
          <w:i w:val="0"/>
          <w:caps w:val="0"/>
          <w:spacing w:val="0"/>
          <w:w w:val="100"/>
          <w:kern w:val="2"/>
          <w:sz w:val="28"/>
          <w:szCs w:val="28"/>
          <w:highlight w:val="none"/>
          <w:lang w:eastAsia="zh-CN" w:bidi="ar-SA"/>
        </w:rPr>
      </w:pPr>
      <w:r>
        <w:rPr>
          <w:rStyle w:val="57"/>
          <w:rFonts w:hint="default" w:ascii="仿宋" w:hAnsi="仿宋" w:eastAsia="仿宋" w:cs="仿宋"/>
          <w:b w:val="0"/>
          <w:i w:val="0"/>
          <w:caps w:val="0"/>
          <w:spacing w:val="0"/>
          <w:w w:val="100"/>
          <w:kern w:val="2"/>
          <w:sz w:val="28"/>
          <w:szCs w:val="28"/>
          <w:highlight w:val="none"/>
          <w:lang w:eastAsia="zh-CN" w:bidi="ar-SA"/>
        </w:rPr>
        <w:t>8.除合同约定解除条款、不可抗力情况发生、任何一方根本性违约及本合同客观上无法继续履行外，甲、乙方不得单方面提前解除合同。</w:t>
      </w:r>
    </w:p>
    <w:p w14:paraId="01190799">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default" w:ascii="仿宋" w:hAnsi="仿宋" w:eastAsia="仿宋" w:cs="仿宋"/>
          <w:b w:val="0"/>
          <w:i w:val="0"/>
          <w:caps w:val="0"/>
          <w:spacing w:val="0"/>
          <w:w w:val="100"/>
          <w:kern w:val="2"/>
          <w:sz w:val="28"/>
          <w:szCs w:val="28"/>
          <w:highlight w:val="none"/>
          <w:lang w:eastAsia="zh-CN" w:bidi="ar-SA"/>
        </w:rPr>
      </w:pPr>
      <w:r>
        <w:rPr>
          <w:rStyle w:val="57"/>
          <w:rFonts w:hint="default" w:ascii="仿宋" w:hAnsi="仿宋" w:eastAsia="仿宋" w:cs="仿宋"/>
          <w:b w:val="0"/>
          <w:i w:val="0"/>
          <w:caps w:val="0"/>
          <w:spacing w:val="0"/>
          <w:w w:val="100"/>
          <w:kern w:val="2"/>
          <w:sz w:val="28"/>
          <w:szCs w:val="28"/>
          <w:highlight w:val="none"/>
          <w:lang w:eastAsia="zh-CN" w:bidi="ar-SA"/>
        </w:rPr>
        <w:t>9.如乙方未按本合同规定期限提交乙方派往甲方工作的员工的有关证明材料，又无正当理由的，甲方有权单方终止本合同，给甲方造成损失，由乙方予以赔偿。</w:t>
      </w:r>
    </w:p>
    <w:p w14:paraId="57D96540">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default" w:ascii="仿宋" w:hAnsi="仿宋" w:eastAsia="仿宋" w:cs="仿宋"/>
          <w:b w:val="0"/>
          <w:i w:val="0"/>
          <w:caps w:val="0"/>
          <w:spacing w:val="0"/>
          <w:w w:val="100"/>
          <w:kern w:val="2"/>
          <w:sz w:val="28"/>
          <w:szCs w:val="28"/>
          <w:highlight w:val="none"/>
          <w:lang w:eastAsia="zh-CN" w:bidi="ar-SA"/>
        </w:rPr>
      </w:pPr>
      <w:r>
        <w:rPr>
          <w:rStyle w:val="57"/>
          <w:rFonts w:hint="default" w:ascii="仿宋" w:hAnsi="仿宋" w:eastAsia="仿宋" w:cs="仿宋"/>
          <w:b w:val="0"/>
          <w:i w:val="0"/>
          <w:caps w:val="0"/>
          <w:spacing w:val="0"/>
          <w:w w:val="100"/>
          <w:kern w:val="2"/>
          <w:sz w:val="28"/>
          <w:szCs w:val="28"/>
          <w:highlight w:val="none"/>
          <w:lang w:eastAsia="zh-CN" w:bidi="ar-SA"/>
        </w:rPr>
        <w:t>10.如乙方未按本合同规定与员工签订劳动合同，或拖欠员工工资，或支付员工的工资低于当地最低工资规定，甲方可责令其限期改正，乙方逾期未改的，甲方有权单方终止合同，给甲方造成损失的，由乙方予以赔偿。甲方有权从对乙方的应付款中直接将乙方拖欠的员工工资支付给乙方员工。</w:t>
      </w:r>
    </w:p>
    <w:p w14:paraId="13CFD13C">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default" w:ascii="仿宋" w:hAnsi="仿宋" w:eastAsia="仿宋" w:cs="仿宋"/>
          <w:b w:val="0"/>
          <w:i w:val="0"/>
          <w:caps w:val="0"/>
          <w:spacing w:val="0"/>
          <w:w w:val="100"/>
          <w:kern w:val="2"/>
          <w:sz w:val="28"/>
          <w:szCs w:val="28"/>
          <w:highlight w:val="none"/>
          <w:lang w:eastAsia="zh-CN" w:bidi="ar-SA"/>
        </w:rPr>
      </w:pPr>
      <w:r>
        <w:rPr>
          <w:rStyle w:val="57"/>
          <w:rFonts w:hint="default" w:ascii="仿宋" w:hAnsi="仿宋" w:eastAsia="仿宋" w:cs="仿宋"/>
          <w:b w:val="0"/>
          <w:i w:val="0"/>
          <w:caps w:val="0"/>
          <w:spacing w:val="0"/>
          <w:w w:val="100"/>
          <w:kern w:val="2"/>
          <w:sz w:val="28"/>
          <w:szCs w:val="28"/>
          <w:highlight w:val="none"/>
          <w:lang w:eastAsia="zh-CN" w:bidi="ar-SA"/>
        </w:rPr>
        <w:t>11.乙方未及时足额支付提供临时膳食保障服务员工的加班费用的，每发生一次，乙方应向甲方支付违约金3000元。甲方同时向乙方发出及时支付加班费的警示函，乙方在收到甲方警示函之日起3日内按要求支付员工的加班费用。</w:t>
      </w:r>
    </w:p>
    <w:p w14:paraId="4D8DE99B">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2" w:firstLineChars="200"/>
        <w:jc w:val="left"/>
        <w:textAlignment w:val="baseline"/>
        <w:rPr>
          <w:rStyle w:val="57"/>
          <w:rFonts w:hint="default" w:ascii="仿宋" w:hAnsi="仿宋" w:eastAsia="仿宋" w:cs="仿宋"/>
          <w:b/>
          <w:bCs/>
          <w:i w:val="0"/>
          <w:caps w:val="0"/>
          <w:spacing w:val="0"/>
          <w:w w:val="100"/>
          <w:kern w:val="2"/>
          <w:sz w:val="28"/>
          <w:szCs w:val="28"/>
          <w:highlight w:val="none"/>
          <w:lang w:eastAsia="zh-CN" w:bidi="ar-SA"/>
        </w:rPr>
      </w:pPr>
      <w:r>
        <w:rPr>
          <w:rStyle w:val="57"/>
          <w:rFonts w:hint="eastAsia" w:ascii="仿宋" w:hAnsi="仿宋" w:eastAsia="仿宋" w:cs="仿宋"/>
          <w:b/>
          <w:bCs/>
          <w:i w:val="0"/>
          <w:caps w:val="0"/>
          <w:spacing w:val="0"/>
          <w:w w:val="100"/>
          <w:kern w:val="2"/>
          <w:sz w:val="28"/>
          <w:szCs w:val="28"/>
          <w:highlight w:val="none"/>
          <w:lang w:val="en-US" w:eastAsia="zh-CN" w:bidi="ar-SA"/>
        </w:rPr>
        <w:t>第</w:t>
      </w:r>
      <w:r>
        <w:rPr>
          <w:rStyle w:val="57"/>
          <w:rFonts w:hint="default" w:ascii="仿宋" w:hAnsi="仿宋" w:eastAsia="仿宋" w:cs="仿宋"/>
          <w:b/>
          <w:bCs/>
          <w:i w:val="0"/>
          <w:caps w:val="0"/>
          <w:spacing w:val="0"/>
          <w:w w:val="100"/>
          <w:kern w:val="2"/>
          <w:sz w:val="28"/>
          <w:szCs w:val="28"/>
          <w:highlight w:val="none"/>
          <w:lang w:eastAsia="zh-CN" w:bidi="ar-SA"/>
        </w:rPr>
        <w:t>十</w:t>
      </w:r>
      <w:r>
        <w:rPr>
          <w:rStyle w:val="57"/>
          <w:rFonts w:hint="eastAsia" w:ascii="仿宋" w:hAnsi="仿宋" w:eastAsia="仿宋" w:cs="仿宋"/>
          <w:b/>
          <w:bCs/>
          <w:i w:val="0"/>
          <w:caps w:val="0"/>
          <w:spacing w:val="0"/>
          <w:w w:val="100"/>
          <w:kern w:val="2"/>
          <w:sz w:val="28"/>
          <w:szCs w:val="28"/>
          <w:highlight w:val="none"/>
          <w:lang w:val="en-US" w:eastAsia="zh-CN" w:bidi="ar-SA"/>
        </w:rPr>
        <w:t xml:space="preserve">条 </w:t>
      </w:r>
      <w:r>
        <w:rPr>
          <w:rStyle w:val="57"/>
          <w:rFonts w:hint="default" w:ascii="仿宋" w:hAnsi="仿宋" w:eastAsia="仿宋" w:cs="仿宋"/>
          <w:b/>
          <w:bCs/>
          <w:i w:val="0"/>
          <w:caps w:val="0"/>
          <w:spacing w:val="0"/>
          <w:w w:val="100"/>
          <w:kern w:val="2"/>
          <w:sz w:val="28"/>
          <w:szCs w:val="28"/>
          <w:highlight w:val="none"/>
          <w:lang w:eastAsia="zh-CN" w:bidi="ar-SA"/>
        </w:rPr>
        <w:t>履约保函及保险</w:t>
      </w:r>
    </w:p>
    <w:p w14:paraId="7EDB88CE">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default" w:ascii="仿宋" w:hAnsi="仿宋" w:eastAsia="仿宋" w:cs="仿宋"/>
          <w:b w:val="0"/>
          <w:i w:val="0"/>
          <w:caps w:val="0"/>
          <w:spacing w:val="0"/>
          <w:w w:val="100"/>
          <w:kern w:val="2"/>
          <w:sz w:val="28"/>
          <w:szCs w:val="28"/>
          <w:highlight w:val="none"/>
          <w:lang w:eastAsia="zh-CN" w:bidi="ar-SA"/>
        </w:rPr>
      </w:pPr>
      <w:r>
        <w:rPr>
          <w:rStyle w:val="57"/>
          <w:rFonts w:hint="default" w:ascii="仿宋" w:hAnsi="仿宋" w:eastAsia="仿宋" w:cs="仿宋"/>
          <w:b w:val="0"/>
          <w:i w:val="0"/>
          <w:caps w:val="0"/>
          <w:spacing w:val="0"/>
          <w:w w:val="100"/>
          <w:kern w:val="2"/>
          <w:sz w:val="28"/>
          <w:szCs w:val="28"/>
          <w:highlight w:val="none"/>
          <w:lang w:eastAsia="zh-CN" w:bidi="ar-SA"/>
        </w:rPr>
        <w:t>1.</w:t>
      </w:r>
      <w:r>
        <w:rPr>
          <w:rStyle w:val="57"/>
          <w:rFonts w:hint="eastAsia" w:ascii="仿宋" w:hAnsi="仿宋" w:eastAsia="仿宋" w:cs="仿宋"/>
          <w:b w:val="0"/>
          <w:i w:val="0"/>
          <w:caps w:val="0"/>
          <w:spacing w:val="0"/>
          <w:w w:val="100"/>
          <w:kern w:val="2"/>
          <w:sz w:val="28"/>
          <w:szCs w:val="28"/>
          <w:highlight w:val="none"/>
          <w:lang w:val="en-US" w:eastAsia="zh-CN" w:bidi="ar-SA"/>
        </w:rPr>
        <w:t>为确保乙方服务质量，</w:t>
      </w:r>
      <w:r>
        <w:rPr>
          <w:rStyle w:val="57"/>
          <w:rFonts w:hint="default" w:ascii="仿宋" w:hAnsi="仿宋" w:eastAsia="仿宋" w:cs="仿宋"/>
          <w:b w:val="0"/>
          <w:i w:val="0"/>
          <w:caps w:val="0"/>
          <w:spacing w:val="0"/>
          <w:w w:val="100"/>
          <w:kern w:val="2"/>
          <w:sz w:val="28"/>
          <w:szCs w:val="28"/>
          <w:highlight w:val="none"/>
          <w:lang w:eastAsia="zh-CN" w:bidi="ar-SA"/>
        </w:rPr>
        <w:t>乙方</w:t>
      </w:r>
      <w:r>
        <w:rPr>
          <w:rStyle w:val="57"/>
          <w:rFonts w:hint="eastAsia" w:ascii="仿宋" w:hAnsi="仿宋" w:eastAsia="仿宋" w:cs="仿宋"/>
          <w:b w:val="0"/>
          <w:i w:val="0"/>
          <w:caps w:val="0"/>
          <w:spacing w:val="0"/>
          <w:w w:val="100"/>
          <w:kern w:val="2"/>
          <w:sz w:val="28"/>
          <w:szCs w:val="28"/>
          <w:highlight w:val="none"/>
          <w:lang w:val="en-US" w:eastAsia="zh-CN" w:bidi="ar-SA"/>
        </w:rPr>
        <w:t>应于合同签订之日前5个工作日内提供保额为人民币伍万元整的不可撤销的见索即付银行保函作为履约担保，保函有效期为1年，银行保函到期自动失效；如续签合同，乙方应当在合同续签前继续提供续签合同期内同等条件的伍万元</w:t>
      </w:r>
      <w:r>
        <w:rPr>
          <w:rStyle w:val="57"/>
          <w:rFonts w:hint="default" w:ascii="仿宋" w:hAnsi="仿宋" w:eastAsia="仿宋" w:cs="仿宋"/>
          <w:b w:val="0"/>
          <w:i w:val="0"/>
          <w:caps w:val="0"/>
          <w:spacing w:val="0"/>
          <w:w w:val="100"/>
          <w:kern w:val="2"/>
          <w:sz w:val="28"/>
          <w:szCs w:val="28"/>
          <w:highlight w:val="none"/>
          <w:lang w:eastAsia="zh-CN" w:bidi="ar-SA"/>
        </w:rPr>
        <w:t>整</w:t>
      </w:r>
      <w:r>
        <w:rPr>
          <w:rStyle w:val="57"/>
          <w:rFonts w:hint="eastAsia" w:ascii="仿宋" w:hAnsi="仿宋" w:eastAsia="仿宋" w:cs="仿宋"/>
          <w:b w:val="0"/>
          <w:i w:val="0"/>
          <w:caps w:val="0"/>
          <w:spacing w:val="0"/>
          <w:w w:val="100"/>
          <w:kern w:val="2"/>
          <w:sz w:val="28"/>
          <w:szCs w:val="28"/>
          <w:highlight w:val="none"/>
          <w:lang w:val="en-US" w:eastAsia="zh-CN" w:bidi="ar-SA"/>
        </w:rPr>
        <w:t>履约保函。在乙方擅自中止服务、其他导致合同目的无法实现的重大违约</w:t>
      </w:r>
      <w:r>
        <w:rPr>
          <w:rStyle w:val="57"/>
          <w:rFonts w:hint="default" w:ascii="仿宋" w:hAnsi="仿宋" w:eastAsia="仿宋" w:cs="仿宋"/>
          <w:b w:val="0"/>
          <w:i w:val="0"/>
          <w:caps w:val="0"/>
          <w:spacing w:val="0"/>
          <w:w w:val="100"/>
          <w:kern w:val="2"/>
          <w:sz w:val="28"/>
          <w:szCs w:val="28"/>
          <w:highlight w:val="none"/>
          <w:lang w:eastAsia="zh-CN" w:bidi="ar-SA"/>
        </w:rPr>
        <w:t>以及</w:t>
      </w:r>
      <w:r>
        <w:rPr>
          <w:rStyle w:val="57"/>
          <w:rFonts w:hint="eastAsia" w:ascii="仿宋" w:hAnsi="仿宋" w:eastAsia="仿宋" w:cs="仿宋"/>
          <w:b w:val="0"/>
          <w:i w:val="0"/>
          <w:caps w:val="0"/>
          <w:spacing w:val="0"/>
          <w:w w:val="100"/>
          <w:kern w:val="2"/>
          <w:sz w:val="28"/>
          <w:szCs w:val="28"/>
          <w:highlight w:val="none"/>
          <w:lang w:val="en-US" w:eastAsia="zh-CN" w:bidi="ar-SA"/>
        </w:rPr>
        <w:t>出现服务</w:t>
      </w:r>
      <w:r>
        <w:rPr>
          <w:rStyle w:val="57"/>
          <w:rFonts w:hint="default" w:ascii="仿宋" w:hAnsi="仿宋" w:eastAsia="仿宋" w:cs="仿宋"/>
          <w:b w:val="0"/>
          <w:i w:val="0"/>
          <w:caps w:val="0"/>
          <w:spacing w:val="0"/>
          <w:w w:val="100"/>
          <w:kern w:val="2"/>
          <w:sz w:val="28"/>
          <w:szCs w:val="28"/>
          <w:highlight w:val="none"/>
          <w:lang w:eastAsia="zh-CN" w:bidi="ar-SA"/>
        </w:rPr>
        <w:t>质量</w:t>
      </w:r>
      <w:r>
        <w:rPr>
          <w:rStyle w:val="57"/>
          <w:rFonts w:hint="eastAsia" w:ascii="仿宋" w:hAnsi="仿宋" w:eastAsia="仿宋" w:cs="仿宋"/>
          <w:b w:val="0"/>
          <w:i w:val="0"/>
          <w:caps w:val="0"/>
          <w:spacing w:val="0"/>
          <w:w w:val="100"/>
          <w:kern w:val="2"/>
          <w:sz w:val="28"/>
          <w:szCs w:val="28"/>
          <w:highlight w:val="none"/>
          <w:lang w:val="en-US" w:eastAsia="zh-CN" w:bidi="ar-SA"/>
        </w:rPr>
        <w:t>不合格的情况下，</w:t>
      </w:r>
      <w:r>
        <w:rPr>
          <w:rStyle w:val="57"/>
          <w:rFonts w:hint="default" w:ascii="仿宋" w:hAnsi="仿宋" w:eastAsia="仿宋" w:cs="仿宋"/>
          <w:b w:val="0"/>
          <w:i w:val="0"/>
          <w:caps w:val="0"/>
          <w:spacing w:val="0"/>
          <w:w w:val="100"/>
          <w:kern w:val="2"/>
          <w:sz w:val="28"/>
          <w:szCs w:val="28"/>
          <w:highlight w:val="none"/>
          <w:lang w:eastAsia="zh-CN" w:bidi="ar-SA"/>
        </w:rPr>
        <w:t>甲方</w:t>
      </w:r>
      <w:r>
        <w:rPr>
          <w:rStyle w:val="57"/>
          <w:rFonts w:hint="eastAsia" w:ascii="仿宋" w:hAnsi="仿宋" w:eastAsia="仿宋" w:cs="仿宋"/>
          <w:b w:val="0"/>
          <w:i w:val="0"/>
          <w:caps w:val="0"/>
          <w:spacing w:val="0"/>
          <w:w w:val="100"/>
          <w:kern w:val="2"/>
          <w:sz w:val="28"/>
          <w:szCs w:val="28"/>
          <w:highlight w:val="none"/>
          <w:lang w:val="en-US" w:eastAsia="zh-CN" w:bidi="ar-SA"/>
        </w:rPr>
        <w:t>有权就乙方提供的履约保函主张索赔</w:t>
      </w:r>
      <w:r>
        <w:rPr>
          <w:rStyle w:val="57"/>
          <w:rFonts w:hint="default" w:ascii="仿宋" w:hAnsi="仿宋" w:eastAsia="仿宋" w:cs="仿宋"/>
          <w:b w:val="0"/>
          <w:i w:val="0"/>
          <w:caps w:val="0"/>
          <w:spacing w:val="0"/>
          <w:w w:val="100"/>
          <w:kern w:val="2"/>
          <w:sz w:val="28"/>
          <w:szCs w:val="28"/>
          <w:highlight w:val="none"/>
          <w:lang w:eastAsia="zh-CN" w:bidi="ar-SA"/>
        </w:rPr>
        <w:t>。</w:t>
      </w:r>
    </w:p>
    <w:p w14:paraId="0348530D">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default" w:ascii="仿宋" w:hAnsi="仿宋" w:eastAsia="仿宋" w:cs="仿宋"/>
          <w:b w:val="0"/>
          <w:i w:val="0"/>
          <w:caps w:val="0"/>
          <w:spacing w:val="0"/>
          <w:w w:val="100"/>
          <w:kern w:val="2"/>
          <w:sz w:val="28"/>
          <w:szCs w:val="28"/>
          <w:highlight w:val="none"/>
          <w:lang w:eastAsia="zh-CN" w:bidi="ar-SA"/>
        </w:rPr>
      </w:pPr>
      <w:r>
        <w:rPr>
          <w:rStyle w:val="57"/>
          <w:rFonts w:hint="default" w:ascii="仿宋" w:hAnsi="仿宋" w:eastAsia="仿宋" w:cs="仿宋"/>
          <w:b w:val="0"/>
          <w:i w:val="0"/>
          <w:caps w:val="0"/>
          <w:spacing w:val="0"/>
          <w:w w:val="100"/>
          <w:kern w:val="2"/>
          <w:sz w:val="28"/>
          <w:szCs w:val="28"/>
          <w:highlight w:val="none"/>
          <w:lang w:eastAsia="zh-CN" w:bidi="ar-SA"/>
        </w:rPr>
        <w:t>2.保险要求：乙方需购买食品安全保险及公众责任险，并保证本项目服务期限内不中断。</w:t>
      </w:r>
    </w:p>
    <w:p w14:paraId="6272CD49">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2" w:firstLineChars="200"/>
        <w:jc w:val="left"/>
        <w:textAlignment w:val="baseline"/>
        <w:rPr>
          <w:rStyle w:val="57"/>
          <w:rFonts w:hint="default" w:ascii="仿宋" w:hAnsi="仿宋" w:eastAsia="仿宋" w:cs="仿宋"/>
          <w:b/>
          <w:bCs/>
          <w:i w:val="0"/>
          <w:caps w:val="0"/>
          <w:spacing w:val="0"/>
          <w:w w:val="100"/>
          <w:kern w:val="2"/>
          <w:sz w:val="28"/>
          <w:szCs w:val="28"/>
          <w:highlight w:val="none"/>
          <w:lang w:eastAsia="zh-CN" w:bidi="ar-SA"/>
        </w:rPr>
      </w:pPr>
      <w:r>
        <w:rPr>
          <w:rStyle w:val="57"/>
          <w:rFonts w:hint="eastAsia" w:ascii="仿宋" w:hAnsi="仿宋" w:eastAsia="仿宋" w:cs="仿宋"/>
          <w:b/>
          <w:bCs/>
          <w:i w:val="0"/>
          <w:caps w:val="0"/>
          <w:spacing w:val="0"/>
          <w:w w:val="100"/>
          <w:kern w:val="2"/>
          <w:sz w:val="28"/>
          <w:szCs w:val="28"/>
          <w:highlight w:val="none"/>
          <w:lang w:val="en-US" w:eastAsia="zh-CN" w:bidi="ar-SA"/>
        </w:rPr>
        <w:t>第</w:t>
      </w:r>
      <w:r>
        <w:rPr>
          <w:rStyle w:val="57"/>
          <w:rFonts w:hint="default" w:ascii="仿宋" w:hAnsi="仿宋" w:eastAsia="仿宋" w:cs="仿宋"/>
          <w:b/>
          <w:bCs/>
          <w:i w:val="0"/>
          <w:caps w:val="0"/>
          <w:spacing w:val="0"/>
          <w:w w:val="100"/>
          <w:kern w:val="2"/>
          <w:sz w:val="28"/>
          <w:szCs w:val="28"/>
          <w:highlight w:val="none"/>
          <w:lang w:eastAsia="zh-CN" w:bidi="ar-SA"/>
        </w:rPr>
        <w:t>十一</w:t>
      </w:r>
      <w:r>
        <w:rPr>
          <w:rStyle w:val="57"/>
          <w:rFonts w:hint="eastAsia" w:ascii="仿宋" w:hAnsi="仿宋" w:eastAsia="仿宋" w:cs="仿宋"/>
          <w:b/>
          <w:bCs/>
          <w:i w:val="0"/>
          <w:caps w:val="0"/>
          <w:spacing w:val="0"/>
          <w:w w:val="100"/>
          <w:kern w:val="2"/>
          <w:sz w:val="28"/>
          <w:szCs w:val="28"/>
          <w:highlight w:val="none"/>
          <w:lang w:val="en-US" w:eastAsia="zh-CN" w:bidi="ar-SA"/>
        </w:rPr>
        <w:t xml:space="preserve">条 </w:t>
      </w:r>
      <w:r>
        <w:rPr>
          <w:rStyle w:val="57"/>
          <w:rFonts w:hint="default" w:ascii="仿宋" w:hAnsi="仿宋" w:eastAsia="仿宋" w:cs="仿宋"/>
          <w:b/>
          <w:bCs/>
          <w:i w:val="0"/>
          <w:caps w:val="0"/>
          <w:spacing w:val="0"/>
          <w:w w:val="100"/>
          <w:kern w:val="2"/>
          <w:sz w:val="28"/>
          <w:szCs w:val="28"/>
          <w:highlight w:val="none"/>
          <w:lang w:eastAsia="zh-CN" w:bidi="ar-SA"/>
        </w:rPr>
        <w:t>纠纷</w:t>
      </w:r>
    </w:p>
    <w:p w14:paraId="534678E6">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eastAsia" w:ascii="仿宋" w:hAnsi="仿宋" w:eastAsia="仿宋" w:cs="仿宋"/>
          <w:b w:val="0"/>
          <w:i w:val="0"/>
          <w:caps w:val="0"/>
          <w:spacing w:val="0"/>
          <w:w w:val="100"/>
          <w:kern w:val="2"/>
          <w:sz w:val="28"/>
          <w:szCs w:val="28"/>
          <w:highlight w:val="none"/>
          <w:lang w:val="en-US" w:eastAsia="zh-CN" w:bidi="ar-SA"/>
        </w:rPr>
      </w:pPr>
      <w:r>
        <w:rPr>
          <w:rStyle w:val="57"/>
          <w:rFonts w:hint="eastAsia" w:ascii="仿宋" w:hAnsi="仿宋" w:eastAsia="仿宋" w:cs="仿宋"/>
          <w:b w:val="0"/>
          <w:i w:val="0"/>
          <w:caps w:val="0"/>
          <w:spacing w:val="0"/>
          <w:w w:val="100"/>
          <w:kern w:val="2"/>
          <w:sz w:val="28"/>
          <w:szCs w:val="28"/>
          <w:highlight w:val="none"/>
          <w:lang w:val="en-US" w:eastAsia="zh-CN" w:bidi="ar-SA"/>
        </w:rPr>
        <w:t>合同履约期间，若发生纠纷，双方应友好协商解决，协商或调解不成的，向合同履行地人民法院提起诉讼。</w:t>
      </w:r>
    </w:p>
    <w:p w14:paraId="24DCFA44">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2" w:firstLineChars="200"/>
        <w:jc w:val="left"/>
        <w:textAlignment w:val="baseline"/>
        <w:rPr>
          <w:rStyle w:val="57"/>
          <w:rFonts w:hint="default" w:ascii="仿宋" w:hAnsi="仿宋" w:eastAsia="仿宋" w:cs="仿宋"/>
          <w:b w:val="0"/>
          <w:i w:val="0"/>
          <w:caps w:val="0"/>
          <w:spacing w:val="0"/>
          <w:w w:val="100"/>
          <w:kern w:val="2"/>
          <w:sz w:val="28"/>
          <w:szCs w:val="28"/>
          <w:highlight w:val="none"/>
          <w:lang w:eastAsia="zh-CN" w:bidi="ar-SA"/>
        </w:rPr>
      </w:pPr>
      <w:r>
        <w:rPr>
          <w:rStyle w:val="57"/>
          <w:rFonts w:hint="eastAsia" w:ascii="仿宋" w:hAnsi="仿宋" w:eastAsia="仿宋" w:cs="仿宋"/>
          <w:b/>
          <w:bCs/>
          <w:i w:val="0"/>
          <w:caps w:val="0"/>
          <w:spacing w:val="0"/>
          <w:w w:val="100"/>
          <w:kern w:val="2"/>
          <w:sz w:val="28"/>
          <w:szCs w:val="28"/>
          <w:highlight w:val="none"/>
          <w:lang w:val="en-US" w:eastAsia="zh-CN" w:bidi="ar-SA"/>
        </w:rPr>
        <w:t>第</w:t>
      </w:r>
      <w:r>
        <w:rPr>
          <w:rStyle w:val="57"/>
          <w:rFonts w:hint="default" w:ascii="仿宋" w:hAnsi="仿宋" w:eastAsia="仿宋" w:cs="仿宋"/>
          <w:b/>
          <w:bCs/>
          <w:i w:val="0"/>
          <w:caps w:val="0"/>
          <w:spacing w:val="0"/>
          <w:w w:val="100"/>
          <w:kern w:val="2"/>
          <w:sz w:val="28"/>
          <w:szCs w:val="28"/>
          <w:highlight w:val="none"/>
          <w:lang w:eastAsia="zh-CN" w:bidi="ar-SA"/>
        </w:rPr>
        <w:t>十二</w:t>
      </w:r>
      <w:r>
        <w:rPr>
          <w:rStyle w:val="57"/>
          <w:rFonts w:hint="eastAsia" w:ascii="仿宋" w:hAnsi="仿宋" w:eastAsia="仿宋" w:cs="仿宋"/>
          <w:b/>
          <w:bCs/>
          <w:i w:val="0"/>
          <w:caps w:val="0"/>
          <w:spacing w:val="0"/>
          <w:w w:val="100"/>
          <w:kern w:val="2"/>
          <w:sz w:val="28"/>
          <w:szCs w:val="28"/>
          <w:highlight w:val="none"/>
          <w:lang w:val="en-US" w:eastAsia="zh-CN" w:bidi="ar-SA"/>
        </w:rPr>
        <w:t xml:space="preserve">条 </w:t>
      </w:r>
      <w:r>
        <w:rPr>
          <w:rStyle w:val="57"/>
          <w:rFonts w:hint="default" w:ascii="仿宋" w:hAnsi="仿宋" w:eastAsia="仿宋" w:cs="仿宋"/>
          <w:b/>
          <w:bCs/>
          <w:i w:val="0"/>
          <w:caps w:val="0"/>
          <w:spacing w:val="0"/>
          <w:w w:val="100"/>
          <w:kern w:val="2"/>
          <w:sz w:val="28"/>
          <w:szCs w:val="28"/>
          <w:highlight w:val="none"/>
          <w:lang w:eastAsia="zh-CN" w:bidi="ar-SA"/>
        </w:rPr>
        <w:t>其他事项</w:t>
      </w:r>
    </w:p>
    <w:p w14:paraId="2A14D263">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eastAsia" w:ascii="仿宋" w:hAnsi="仿宋" w:eastAsia="仿宋" w:cs="仿宋"/>
          <w:b w:val="0"/>
          <w:i w:val="0"/>
          <w:caps w:val="0"/>
          <w:spacing w:val="0"/>
          <w:w w:val="100"/>
          <w:kern w:val="2"/>
          <w:sz w:val="28"/>
          <w:szCs w:val="28"/>
          <w:highlight w:val="none"/>
          <w:lang w:val="en-US" w:eastAsia="zh-CN" w:bidi="ar-SA"/>
        </w:rPr>
      </w:pPr>
      <w:r>
        <w:rPr>
          <w:rStyle w:val="57"/>
          <w:rFonts w:hint="default" w:ascii="仿宋" w:hAnsi="仿宋" w:eastAsia="仿宋" w:cs="仿宋"/>
          <w:b w:val="0"/>
          <w:i w:val="0"/>
          <w:caps w:val="0"/>
          <w:spacing w:val="0"/>
          <w:w w:val="100"/>
          <w:kern w:val="2"/>
          <w:sz w:val="28"/>
          <w:szCs w:val="28"/>
          <w:highlight w:val="none"/>
          <w:lang w:eastAsia="zh-CN" w:bidi="ar-SA"/>
        </w:rPr>
        <w:t>1</w:t>
      </w:r>
      <w:r>
        <w:rPr>
          <w:rStyle w:val="57"/>
          <w:rFonts w:hint="eastAsia" w:ascii="仿宋" w:hAnsi="仿宋" w:eastAsia="仿宋" w:cs="仿宋"/>
          <w:b w:val="0"/>
          <w:i w:val="0"/>
          <w:caps w:val="0"/>
          <w:spacing w:val="0"/>
          <w:w w:val="100"/>
          <w:kern w:val="2"/>
          <w:sz w:val="28"/>
          <w:szCs w:val="28"/>
          <w:highlight w:val="none"/>
          <w:lang w:val="en-US" w:eastAsia="zh-CN" w:bidi="ar-SA"/>
        </w:rPr>
        <w:t>.协议终止：协议期满，双方或一方不愿续签，或乙方经履约评价结果不符合续约条件的，则协议自行终止；但无意续约的一方应提前 30 天通知对方，以便做好终止协议前的有关事宜。</w:t>
      </w:r>
    </w:p>
    <w:p w14:paraId="76B1832A">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eastAsia" w:ascii="仿宋" w:hAnsi="仿宋" w:eastAsia="仿宋" w:cs="仿宋"/>
          <w:b w:val="0"/>
          <w:i w:val="0"/>
          <w:caps w:val="0"/>
          <w:spacing w:val="0"/>
          <w:w w:val="100"/>
          <w:kern w:val="2"/>
          <w:sz w:val="28"/>
          <w:szCs w:val="28"/>
          <w:highlight w:val="none"/>
          <w:lang w:val="en-US" w:eastAsia="zh-CN" w:bidi="ar-SA"/>
        </w:rPr>
      </w:pPr>
      <w:r>
        <w:rPr>
          <w:rStyle w:val="57"/>
          <w:rFonts w:hint="default" w:ascii="仿宋" w:hAnsi="仿宋" w:eastAsia="仿宋" w:cs="仿宋"/>
          <w:b w:val="0"/>
          <w:i w:val="0"/>
          <w:caps w:val="0"/>
          <w:spacing w:val="0"/>
          <w:w w:val="100"/>
          <w:kern w:val="2"/>
          <w:sz w:val="28"/>
          <w:szCs w:val="28"/>
          <w:highlight w:val="none"/>
          <w:lang w:eastAsia="zh-CN" w:bidi="ar-SA"/>
        </w:rPr>
        <w:t>2.</w:t>
      </w:r>
      <w:r>
        <w:rPr>
          <w:rStyle w:val="57"/>
          <w:rFonts w:hint="eastAsia" w:ascii="仿宋" w:hAnsi="仿宋" w:eastAsia="仿宋" w:cs="仿宋"/>
          <w:b w:val="0"/>
          <w:i w:val="0"/>
          <w:caps w:val="0"/>
          <w:spacing w:val="0"/>
          <w:w w:val="100"/>
          <w:kern w:val="2"/>
          <w:sz w:val="28"/>
          <w:szCs w:val="28"/>
          <w:highlight w:val="none"/>
          <w:lang w:val="en-US" w:eastAsia="zh-CN" w:bidi="ar-SA"/>
        </w:rPr>
        <w:t>甲乙双方在履行本协议过程中，若双方有对本协议条款内容以外的事项要求变更，必须经甲乙双方共同协商一致后，以书面文字材料的形式，经双方签字盖章确认后予以实施。</w:t>
      </w:r>
    </w:p>
    <w:p w14:paraId="50E5C930">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eastAsia" w:ascii="仿宋" w:hAnsi="仿宋" w:eastAsia="仿宋" w:cs="仿宋"/>
          <w:b w:val="0"/>
          <w:i w:val="0"/>
          <w:caps w:val="0"/>
          <w:spacing w:val="0"/>
          <w:w w:val="100"/>
          <w:kern w:val="2"/>
          <w:sz w:val="28"/>
          <w:szCs w:val="28"/>
          <w:highlight w:val="none"/>
          <w:lang w:val="en-US" w:eastAsia="zh-CN" w:bidi="ar-SA"/>
        </w:rPr>
      </w:pPr>
      <w:r>
        <w:rPr>
          <w:rStyle w:val="57"/>
          <w:rFonts w:hint="default" w:ascii="仿宋" w:hAnsi="仿宋" w:eastAsia="仿宋" w:cs="仿宋"/>
          <w:b w:val="0"/>
          <w:i w:val="0"/>
          <w:caps w:val="0"/>
          <w:spacing w:val="0"/>
          <w:w w:val="100"/>
          <w:kern w:val="2"/>
          <w:sz w:val="28"/>
          <w:szCs w:val="28"/>
          <w:highlight w:val="none"/>
          <w:lang w:eastAsia="zh-CN" w:bidi="ar-SA"/>
        </w:rPr>
        <w:t>3.</w:t>
      </w:r>
      <w:r>
        <w:rPr>
          <w:rStyle w:val="57"/>
          <w:rFonts w:hint="eastAsia" w:ascii="仿宋" w:hAnsi="仿宋" w:eastAsia="仿宋" w:cs="仿宋"/>
          <w:b w:val="0"/>
          <w:i w:val="0"/>
          <w:caps w:val="0"/>
          <w:spacing w:val="0"/>
          <w:w w:val="100"/>
          <w:kern w:val="2"/>
          <w:sz w:val="28"/>
          <w:szCs w:val="28"/>
          <w:highlight w:val="none"/>
          <w:lang w:val="en-US" w:eastAsia="zh-CN" w:bidi="ar-SA"/>
        </w:rPr>
        <w:t>本协议一式肆份，甲乙双方各持贰份。</w:t>
      </w:r>
    </w:p>
    <w:p w14:paraId="1B84117C">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eastAsia" w:ascii="仿宋" w:hAnsi="仿宋" w:eastAsia="仿宋" w:cs="仿宋"/>
          <w:b w:val="0"/>
          <w:i w:val="0"/>
          <w:caps w:val="0"/>
          <w:spacing w:val="0"/>
          <w:w w:val="100"/>
          <w:kern w:val="2"/>
          <w:sz w:val="28"/>
          <w:szCs w:val="28"/>
          <w:highlight w:val="none"/>
          <w:lang w:val="en-US" w:eastAsia="zh-CN" w:bidi="ar-SA"/>
        </w:rPr>
      </w:pPr>
      <w:r>
        <w:rPr>
          <w:rStyle w:val="57"/>
          <w:rFonts w:hint="default" w:ascii="仿宋" w:hAnsi="仿宋" w:eastAsia="仿宋" w:cs="仿宋"/>
          <w:b w:val="0"/>
          <w:i w:val="0"/>
          <w:caps w:val="0"/>
          <w:spacing w:val="0"/>
          <w:w w:val="100"/>
          <w:kern w:val="2"/>
          <w:sz w:val="28"/>
          <w:szCs w:val="28"/>
          <w:highlight w:val="none"/>
          <w:lang w:eastAsia="zh-CN" w:bidi="ar-SA"/>
        </w:rPr>
        <w:t>4</w:t>
      </w:r>
      <w:r>
        <w:rPr>
          <w:rStyle w:val="57"/>
          <w:rFonts w:hint="default" w:ascii="仿宋" w:hAnsi="仿宋" w:eastAsia="仿宋" w:cs="仿宋"/>
          <w:b w:val="0"/>
          <w:i w:val="0"/>
          <w:caps w:val="0"/>
          <w:spacing w:val="0"/>
          <w:w w:val="100"/>
          <w:kern w:val="2"/>
          <w:sz w:val="28"/>
          <w:szCs w:val="28"/>
          <w:highlight w:val="none"/>
          <w:lang w:val="en-US" w:eastAsia="zh-CN" w:bidi="ar-SA"/>
        </w:rPr>
        <w:t>.</w:t>
      </w:r>
      <w:r>
        <w:rPr>
          <w:rStyle w:val="57"/>
          <w:rFonts w:hint="eastAsia" w:ascii="仿宋" w:hAnsi="仿宋" w:eastAsia="仿宋" w:cs="仿宋"/>
          <w:b w:val="0"/>
          <w:i w:val="0"/>
          <w:caps w:val="0"/>
          <w:spacing w:val="0"/>
          <w:w w:val="100"/>
          <w:kern w:val="2"/>
          <w:sz w:val="28"/>
          <w:szCs w:val="28"/>
          <w:highlight w:val="none"/>
          <w:lang w:val="en-US" w:eastAsia="zh-CN" w:bidi="ar-SA"/>
        </w:rPr>
        <w:t>本协议经甲乙双方代表签字盖章之日起生效。</w:t>
      </w:r>
    </w:p>
    <w:p w14:paraId="6E5C712F">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default" w:ascii="仿宋" w:hAnsi="仿宋" w:eastAsia="仿宋" w:cs="仿宋"/>
          <w:b w:val="0"/>
          <w:i w:val="0"/>
          <w:caps w:val="0"/>
          <w:spacing w:val="0"/>
          <w:w w:val="100"/>
          <w:kern w:val="2"/>
          <w:sz w:val="28"/>
          <w:szCs w:val="28"/>
          <w:highlight w:val="none"/>
          <w:lang w:eastAsia="zh-CN" w:bidi="ar-SA"/>
        </w:rPr>
      </w:pPr>
      <w:r>
        <w:rPr>
          <w:rStyle w:val="57"/>
          <w:rFonts w:hint="default" w:ascii="仿宋" w:hAnsi="仿宋" w:eastAsia="仿宋" w:cs="仿宋"/>
          <w:b w:val="0"/>
          <w:i w:val="0"/>
          <w:caps w:val="0"/>
          <w:spacing w:val="0"/>
          <w:w w:val="100"/>
          <w:kern w:val="2"/>
          <w:sz w:val="28"/>
          <w:szCs w:val="28"/>
          <w:highlight w:val="none"/>
          <w:lang w:eastAsia="zh-CN" w:bidi="ar-SA"/>
        </w:rPr>
        <w:t>5.相关考核评价以及处罚标准详见附表。</w:t>
      </w:r>
    </w:p>
    <w:p w14:paraId="3397358F">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jc w:val="left"/>
        <w:textAlignment w:val="baseline"/>
        <w:rPr>
          <w:rStyle w:val="57"/>
          <w:rFonts w:hint="eastAsia" w:ascii="仿宋" w:hAnsi="仿宋" w:eastAsia="仿宋" w:cs="仿宋"/>
          <w:b w:val="0"/>
          <w:i w:val="0"/>
          <w:caps w:val="0"/>
          <w:spacing w:val="0"/>
          <w:w w:val="100"/>
          <w:kern w:val="2"/>
          <w:sz w:val="28"/>
          <w:szCs w:val="28"/>
          <w:highlight w:val="none"/>
          <w:lang w:val="en-US" w:eastAsia="zh-CN" w:bidi="ar-SA"/>
        </w:rPr>
      </w:pPr>
    </w:p>
    <w:p w14:paraId="5FEF4336">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eastAsia" w:ascii="仿宋" w:hAnsi="仿宋" w:eastAsia="仿宋" w:cs="仿宋"/>
          <w:b w:val="0"/>
          <w:i w:val="0"/>
          <w:caps w:val="0"/>
          <w:spacing w:val="0"/>
          <w:w w:val="100"/>
          <w:kern w:val="2"/>
          <w:sz w:val="28"/>
          <w:szCs w:val="28"/>
          <w:highlight w:val="none"/>
          <w:lang w:val="en-US" w:eastAsia="zh-CN" w:bidi="ar-SA"/>
        </w:rPr>
      </w:pPr>
    </w:p>
    <w:p w14:paraId="19EB8D10">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eastAsia" w:ascii="仿宋" w:hAnsi="仿宋" w:eastAsia="仿宋" w:cs="仿宋"/>
          <w:b w:val="0"/>
          <w:i w:val="0"/>
          <w:caps w:val="0"/>
          <w:spacing w:val="0"/>
          <w:w w:val="100"/>
          <w:kern w:val="2"/>
          <w:sz w:val="28"/>
          <w:szCs w:val="28"/>
          <w:highlight w:val="none"/>
          <w:lang w:val="en-US" w:eastAsia="zh-CN" w:bidi="ar-SA"/>
        </w:rPr>
      </w:pPr>
      <w:r>
        <w:rPr>
          <w:rStyle w:val="57"/>
          <w:rFonts w:hint="eastAsia" w:ascii="仿宋" w:hAnsi="仿宋" w:eastAsia="仿宋" w:cs="仿宋"/>
          <w:b w:val="0"/>
          <w:i w:val="0"/>
          <w:caps w:val="0"/>
          <w:spacing w:val="0"/>
          <w:w w:val="100"/>
          <w:kern w:val="2"/>
          <w:sz w:val="28"/>
          <w:szCs w:val="28"/>
          <w:highlight w:val="none"/>
          <w:lang w:val="en-US" w:eastAsia="zh-CN" w:bidi="ar-SA"/>
        </w:rPr>
        <w:t>甲方（盖章）：                          乙方（盖章）：</w:t>
      </w:r>
    </w:p>
    <w:p w14:paraId="4FCE3771">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eastAsia" w:ascii="仿宋" w:hAnsi="仿宋" w:eastAsia="仿宋" w:cs="仿宋"/>
          <w:b w:val="0"/>
          <w:i w:val="0"/>
          <w:caps w:val="0"/>
          <w:spacing w:val="0"/>
          <w:w w:val="100"/>
          <w:kern w:val="2"/>
          <w:sz w:val="28"/>
          <w:szCs w:val="28"/>
          <w:highlight w:val="none"/>
          <w:lang w:val="en-US" w:eastAsia="zh-CN" w:bidi="ar-SA"/>
        </w:rPr>
      </w:pPr>
      <w:r>
        <w:rPr>
          <w:rStyle w:val="57"/>
          <w:rFonts w:hint="eastAsia" w:ascii="仿宋" w:hAnsi="仿宋" w:eastAsia="仿宋" w:cs="仿宋"/>
          <w:b w:val="0"/>
          <w:i w:val="0"/>
          <w:caps w:val="0"/>
          <w:spacing w:val="0"/>
          <w:w w:val="100"/>
          <w:kern w:val="2"/>
          <w:sz w:val="28"/>
          <w:szCs w:val="28"/>
          <w:highlight w:val="none"/>
          <w:lang w:val="en-US" w:eastAsia="zh-CN" w:bidi="ar-SA"/>
        </w:rPr>
        <w:t>法定代表人或                            法定代表人或</w:t>
      </w:r>
    </w:p>
    <w:p w14:paraId="1C56A3E4">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eastAsia" w:ascii="仿宋" w:hAnsi="仿宋" w:eastAsia="仿宋" w:cs="仿宋"/>
          <w:b w:val="0"/>
          <w:i w:val="0"/>
          <w:caps w:val="0"/>
          <w:spacing w:val="0"/>
          <w:w w:val="100"/>
          <w:kern w:val="2"/>
          <w:sz w:val="28"/>
          <w:szCs w:val="28"/>
          <w:highlight w:val="none"/>
          <w:lang w:val="en-US" w:eastAsia="zh-CN" w:bidi="ar-SA"/>
        </w:rPr>
      </w:pPr>
      <w:r>
        <w:rPr>
          <w:rStyle w:val="57"/>
          <w:rFonts w:hint="eastAsia" w:ascii="仿宋" w:hAnsi="仿宋" w:eastAsia="仿宋" w:cs="仿宋"/>
          <w:b w:val="0"/>
          <w:i w:val="0"/>
          <w:caps w:val="0"/>
          <w:spacing w:val="0"/>
          <w:w w:val="100"/>
          <w:kern w:val="2"/>
          <w:sz w:val="28"/>
          <w:szCs w:val="28"/>
          <w:highlight w:val="none"/>
          <w:lang w:val="en-US" w:eastAsia="zh-CN" w:bidi="ar-SA"/>
        </w:rPr>
        <w:t xml:space="preserve">授权委托人（签字）：                    授权委托人（签字）：                          </w:t>
      </w:r>
    </w:p>
    <w:p w14:paraId="6A29D80E">
      <w:pPr>
        <w:keepNext w:val="0"/>
        <w:keepLines w:val="0"/>
        <w:pageBreakBefore w:val="0"/>
        <w:widowControl/>
        <w:numPr>
          <w:ilvl w:val="0"/>
          <w:numId w:val="0"/>
        </w:numPr>
        <w:kinsoku/>
        <w:wordWrap/>
        <w:overflowPunct/>
        <w:topLinePunct w:val="0"/>
        <w:autoSpaceDE/>
        <w:autoSpaceDN/>
        <w:bidi w:val="0"/>
        <w:adjustRightInd/>
        <w:snapToGrid/>
        <w:spacing w:before="0" w:beforeAutospacing="0" w:afterAutospacing="0" w:line="360" w:lineRule="auto"/>
        <w:ind w:firstLine="560" w:firstLineChars="200"/>
        <w:jc w:val="left"/>
        <w:textAlignment w:val="baseline"/>
        <w:rPr>
          <w:rStyle w:val="57"/>
          <w:rFonts w:hint="default" w:ascii="仿宋" w:hAnsi="仿宋" w:eastAsia="仿宋" w:cs="仿宋"/>
          <w:b/>
          <w:bCs w:val="0"/>
          <w:i w:val="0"/>
          <w:caps w:val="0"/>
          <w:spacing w:val="0"/>
          <w:w w:val="100"/>
          <w:kern w:val="2"/>
          <w:sz w:val="28"/>
          <w:szCs w:val="28"/>
          <w:highlight w:val="none"/>
          <w:lang w:eastAsia="zh-CN" w:bidi="ar-SA"/>
        </w:rPr>
      </w:pPr>
      <w:r>
        <w:rPr>
          <w:rStyle w:val="57"/>
          <w:rFonts w:hint="eastAsia" w:ascii="仿宋" w:hAnsi="仿宋" w:eastAsia="仿宋" w:cs="仿宋"/>
          <w:b w:val="0"/>
          <w:i w:val="0"/>
          <w:caps w:val="0"/>
          <w:spacing w:val="0"/>
          <w:w w:val="100"/>
          <w:kern w:val="2"/>
          <w:sz w:val="28"/>
          <w:szCs w:val="28"/>
          <w:highlight w:val="none"/>
          <w:lang w:val="en-US" w:eastAsia="zh-CN" w:bidi="ar-SA"/>
        </w:rPr>
        <w:t>日期：                                  日期：</w:t>
      </w:r>
    </w:p>
    <w:p w14:paraId="150F4738">
      <w:pPr>
        <w:widowControl/>
        <w:spacing w:line="360" w:lineRule="auto"/>
        <w:ind w:firstLine="0" w:firstLineChars="0"/>
        <w:jc w:val="center"/>
        <w:rPr>
          <w:rFonts w:hint="eastAsia" w:ascii="宋体" w:hAnsi="宋体" w:eastAsia="宋体" w:cs="宋体"/>
          <w:b/>
          <w:bCs/>
          <w:sz w:val="22"/>
          <w:szCs w:val="22"/>
          <w:highlight w:val="none"/>
        </w:rPr>
      </w:pPr>
    </w:p>
    <w:p w14:paraId="692E089A">
      <w:pPr>
        <w:pStyle w:val="10"/>
        <w:rPr>
          <w:rFonts w:hint="eastAsia" w:ascii="宋体" w:hAnsi="宋体" w:eastAsia="宋体" w:cs="宋体"/>
          <w:b/>
          <w:bCs/>
          <w:sz w:val="22"/>
          <w:szCs w:val="22"/>
          <w:highlight w:val="none"/>
        </w:rPr>
      </w:pPr>
    </w:p>
    <w:p w14:paraId="386388BF">
      <w:pPr>
        <w:rPr>
          <w:rFonts w:hint="eastAsia" w:ascii="宋体" w:hAnsi="宋体" w:eastAsia="宋体" w:cs="宋体"/>
          <w:b/>
          <w:bCs/>
          <w:sz w:val="22"/>
          <w:szCs w:val="22"/>
          <w:highlight w:val="none"/>
        </w:rPr>
      </w:pPr>
    </w:p>
    <w:p w14:paraId="018E4399">
      <w:pPr>
        <w:pStyle w:val="10"/>
        <w:rPr>
          <w:rFonts w:hint="eastAsia" w:ascii="宋体" w:hAnsi="宋体" w:eastAsia="宋体" w:cs="宋体"/>
          <w:b/>
          <w:bCs/>
          <w:sz w:val="22"/>
          <w:szCs w:val="22"/>
          <w:highlight w:val="none"/>
        </w:rPr>
      </w:pPr>
    </w:p>
    <w:p w14:paraId="4D7D39E0">
      <w:pPr>
        <w:rPr>
          <w:rFonts w:hint="eastAsia" w:ascii="宋体" w:hAnsi="宋体" w:eastAsia="宋体" w:cs="宋体"/>
          <w:b/>
          <w:bCs/>
          <w:sz w:val="22"/>
          <w:szCs w:val="22"/>
          <w:highlight w:val="none"/>
        </w:rPr>
      </w:pPr>
    </w:p>
    <w:p w14:paraId="0E928FE0">
      <w:pPr>
        <w:pStyle w:val="10"/>
        <w:rPr>
          <w:rFonts w:hint="eastAsia" w:ascii="宋体" w:hAnsi="宋体" w:eastAsia="宋体" w:cs="宋体"/>
          <w:b/>
          <w:bCs/>
          <w:sz w:val="22"/>
          <w:szCs w:val="22"/>
          <w:highlight w:val="none"/>
        </w:rPr>
      </w:pPr>
    </w:p>
    <w:p w14:paraId="5DC3A50E">
      <w:pPr>
        <w:rPr>
          <w:rFonts w:hint="eastAsia" w:ascii="宋体" w:hAnsi="宋体" w:eastAsia="宋体" w:cs="宋体"/>
          <w:b/>
          <w:bCs/>
          <w:sz w:val="22"/>
          <w:szCs w:val="22"/>
          <w:highlight w:val="none"/>
        </w:rPr>
      </w:pPr>
    </w:p>
    <w:p w14:paraId="74DBC14E">
      <w:pPr>
        <w:pStyle w:val="10"/>
        <w:rPr>
          <w:rFonts w:hint="eastAsia"/>
          <w:highlight w:val="none"/>
        </w:rPr>
      </w:pPr>
    </w:p>
    <w:tbl>
      <w:tblPr>
        <w:tblStyle w:val="23"/>
        <w:tblW w:w="5000" w:type="pct"/>
        <w:jc w:val="center"/>
        <w:tblLayout w:type="autofit"/>
        <w:tblCellMar>
          <w:top w:w="0" w:type="dxa"/>
          <w:left w:w="108" w:type="dxa"/>
          <w:bottom w:w="0" w:type="dxa"/>
          <w:right w:w="108" w:type="dxa"/>
        </w:tblCellMar>
      </w:tblPr>
      <w:tblGrid>
        <w:gridCol w:w="794"/>
        <w:gridCol w:w="1389"/>
        <w:gridCol w:w="3427"/>
        <w:gridCol w:w="1322"/>
        <w:gridCol w:w="795"/>
        <w:gridCol w:w="802"/>
      </w:tblGrid>
      <w:tr w14:paraId="70B2DD88">
        <w:tblPrEx>
          <w:tblCellMar>
            <w:top w:w="0" w:type="dxa"/>
            <w:left w:w="108" w:type="dxa"/>
            <w:bottom w:w="0" w:type="dxa"/>
            <w:right w:w="108" w:type="dxa"/>
          </w:tblCellMar>
        </w:tblPrEx>
        <w:trPr>
          <w:trHeight w:val="445" w:hRule="atLeast"/>
          <w:jc w:val="center"/>
        </w:trPr>
        <w:tc>
          <w:tcPr>
            <w:tcW w:w="5000" w:type="pct"/>
            <w:gridSpan w:val="6"/>
            <w:tcBorders>
              <w:top w:val="nil"/>
              <w:left w:val="nil"/>
              <w:bottom w:val="nil"/>
              <w:right w:val="nil"/>
            </w:tcBorders>
            <w:noWrap w:val="0"/>
            <w:vAlign w:val="center"/>
          </w:tcPr>
          <w:p w14:paraId="1BF199FF">
            <w:pPr>
              <w:widowControl/>
              <w:spacing w:line="360" w:lineRule="auto"/>
              <w:ind w:firstLine="0" w:firstLineChars="0"/>
              <w:jc w:val="center"/>
              <w:rPr>
                <w:rFonts w:hint="eastAsia" w:ascii="宋体" w:hAnsi="宋体" w:eastAsia="宋体" w:cs="宋体"/>
                <w:b/>
                <w:bCs/>
                <w:sz w:val="22"/>
                <w:szCs w:val="22"/>
                <w:highlight w:val="none"/>
              </w:rPr>
            </w:pPr>
            <w:r>
              <w:rPr>
                <w:rFonts w:hint="eastAsia" w:ascii="宋体" w:hAnsi="宋体" w:eastAsia="宋体" w:cs="宋体"/>
                <w:b/>
                <w:bCs/>
                <w:sz w:val="22"/>
                <w:szCs w:val="22"/>
                <w:highlight w:val="none"/>
                <w:lang w:eastAsia="zh-CN"/>
              </w:rPr>
              <w:t>附件</w:t>
            </w:r>
            <w:r>
              <w:rPr>
                <w:rFonts w:hint="eastAsia" w:ascii="宋体" w:hAnsi="宋体" w:eastAsia="宋体" w:cs="宋体"/>
                <w:b/>
                <w:bCs/>
                <w:sz w:val="22"/>
                <w:szCs w:val="22"/>
                <w:highlight w:val="none"/>
                <w:lang w:val="en-US" w:eastAsia="zh-CN"/>
              </w:rPr>
              <w:t xml:space="preserve">1： </w:t>
            </w:r>
            <w:r>
              <w:rPr>
                <w:rFonts w:hint="eastAsia" w:ascii="宋体" w:hAnsi="宋体" w:eastAsia="宋体" w:cs="宋体"/>
                <w:b/>
                <w:bCs/>
                <w:sz w:val="22"/>
                <w:szCs w:val="22"/>
                <w:highlight w:val="none"/>
              </w:rPr>
              <w:t>食堂</w:t>
            </w:r>
            <w:r>
              <w:rPr>
                <w:rFonts w:hint="eastAsia" w:ascii="宋体" w:hAnsi="宋体" w:eastAsia="宋体" w:cs="宋体"/>
                <w:b/>
                <w:bCs/>
                <w:sz w:val="22"/>
                <w:szCs w:val="22"/>
                <w:highlight w:val="none"/>
                <w:lang w:eastAsia="zh-CN"/>
              </w:rPr>
              <w:t>管理</w:t>
            </w:r>
            <w:r>
              <w:rPr>
                <w:rFonts w:hint="eastAsia" w:ascii="宋体" w:hAnsi="宋体" w:eastAsia="宋体" w:cs="宋体"/>
                <w:b/>
                <w:bCs/>
                <w:sz w:val="22"/>
                <w:szCs w:val="22"/>
                <w:highlight w:val="none"/>
              </w:rPr>
              <w:t>服务检查评分表</w:t>
            </w:r>
          </w:p>
          <w:p w14:paraId="4B5BCA5E">
            <w:pPr>
              <w:widowControl/>
              <w:jc w:val="right"/>
              <w:rPr>
                <w:rFonts w:hint="eastAsia" w:asciiTheme="minorEastAsia" w:hAnsiTheme="minorEastAsia" w:eastAsiaTheme="minorEastAsia" w:cstheme="minorEastAsia"/>
                <w:kern w:val="0"/>
                <w:sz w:val="21"/>
                <w:szCs w:val="21"/>
                <w:highlight w:val="none"/>
              </w:rPr>
            </w:pPr>
            <w:r>
              <w:rPr>
                <w:rFonts w:hint="eastAsia" w:asciiTheme="minorEastAsia" w:hAnsiTheme="minorEastAsia" w:eastAsiaTheme="minorEastAsia" w:cstheme="minorEastAsia"/>
                <w:sz w:val="21"/>
                <w:szCs w:val="21"/>
                <w:highlight w:val="none"/>
              </w:rPr>
              <w:t>考核期：    年   月   日至   年   月   日</w:t>
            </w:r>
          </w:p>
        </w:tc>
      </w:tr>
      <w:tr w14:paraId="3F31A4D7">
        <w:tblPrEx>
          <w:tblCellMar>
            <w:top w:w="0" w:type="dxa"/>
            <w:left w:w="108" w:type="dxa"/>
            <w:bottom w:w="0" w:type="dxa"/>
            <w:right w:w="108" w:type="dxa"/>
          </w:tblCellMar>
        </w:tblPrEx>
        <w:trPr>
          <w:trHeight w:val="445" w:hRule="atLeast"/>
          <w:jc w:val="center"/>
        </w:trPr>
        <w:tc>
          <w:tcPr>
            <w:tcW w:w="466" w:type="pct"/>
            <w:tcBorders>
              <w:top w:val="single" w:color="auto" w:sz="4" w:space="0"/>
              <w:left w:val="single" w:color="auto" w:sz="4" w:space="0"/>
              <w:bottom w:val="single" w:color="auto" w:sz="4" w:space="0"/>
              <w:right w:val="single" w:color="auto" w:sz="4" w:space="0"/>
            </w:tcBorders>
            <w:noWrap w:val="0"/>
            <w:vAlign w:val="center"/>
          </w:tcPr>
          <w:p w14:paraId="0A837B7F">
            <w:pPr>
              <w:widowControl/>
              <w:jc w:val="center"/>
              <w:rPr>
                <w:rFonts w:hint="eastAsia" w:asciiTheme="minorEastAsia" w:hAnsiTheme="minorEastAsia" w:eastAsiaTheme="minorEastAsia" w:cstheme="minorEastAsia"/>
                <w:kern w:val="0"/>
                <w:sz w:val="21"/>
                <w:szCs w:val="21"/>
                <w:highlight w:val="none"/>
              </w:rPr>
            </w:pPr>
            <w:r>
              <w:rPr>
                <w:rFonts w:hint="eastAsia" w:asciiTheme="minorEastAsia" w:hAnsiTheme="minorEastAsia" w:eastAsiaTheme="minorEastAsia" w:cstheme="minorEastAsia"/>
                <w:kern w:val="0"/>
                <w:sz w:val="21"/>
                <w:szCs w:val="21"/>
                <w:highlight w:val="none"/>
              </w:rPr>
              <w:t>序号</w:t>
            </w:r>
          </w:p>
        </w:tc>
        <w:tc>
          <w:tcPr>
            <w:tcW w:w="814" w:type="pct"/>
            <w:tcBorders>
              <w:top w:val="single" w:color="auto" w:sz="4" w:space="0"/>
              <w:left w:val="nil"/>
              <w:bottom w:val="single" w:color="auto" w:sz="4" w:space="0"/>
              <w:right w:val="single" w:color="auto" w:sz="4" w:space="0"/>
            </w:tcBorders>
            <w:noWrap w:val="0"/>
            <w:vAlign w:val="center"/>
          </w:tcPr>
          <w:p w14:paraId="7B179D38">
            <w:pPr>
              <w:widowControl/>
              <w:jc w:val="center"/>
              <w:rPr>
                <w:rFonts w:hint="eastAsia" w:asciiTheme="minorEastAsia" w:hAnsiTheme="minorEastAsia" w:eastAsiaTheme="minorEastAsia" w:cstheme="minorEastAsia"/>
                <w:kern w:val="0"/>
                <w:sz w:val="21"/>
                <w:szCs w:val="21"/>
                <w:highlight w:val="none"/>
              </w:rPr>
            </w:pPr>
            <w:r>
              <w:rPr>
                <w:rFonts w:hint="eastAsia" w:asciiTheme="minorEastAsia" w:hAnsiTheme="minorEastAsia" w:eastAsiaTheme="minorEastAsia" w:cstheme="minorEastAsia"/>
                <w:kern w:val="0"/>
                <w:sz w:val="21"/>
                <w:szCs w:val="21"/>
                <w:highlight w:val="none"/>
              </w:rPr>
              <w:t>检查项目</w:t>
            </w:r>
          </w:p>
        </w:tc>
        <w:tc>
          <w:tcPr>
            <w:tcW w:w="2009" w:type="pct"/>
            <w:tcBorders>
              <w:top w:val="single" w:color="auto" w:sz="4" w:space="0"/>
              <w:left w:val="nil"/>
              <w:bottom w:val="single" w:color="auto" w:sz="4" w:space="0"/>
              <w:right w:val="single" w:color="auto" w:sz="4" w:space="0"/>
            </w:tcBorders>
            <w:noWrap w:val="0"/>
            <w:vAlign w:val="center"/>
          </w:tcPr>
          <w:p w14:paraId="64670F6C">
            <w:pPr>
              <w:widowControl/>
              <w:jc w:val="center"/>
              <w:rPr>
                <w:rFonts w:hint="eastAsia" w:asciiTheme="minorEastAsia" w:hAnsiTheme="minorEastAsia" w:eastAsiaTheme="minorEastAsia" w:cstheme="minorEastAsia"/>
                <w:kern w:val="0"/>
                <w:sz w:val="21"/>
                <w:szCs w:val="21"/>
                <w:highlight w:val="none"/>
              </w:rPr>
            </w:pPr>
            <w:r>
              <w:rPr>
                <w:rFonts w:hint="eastAsia" w:asciiTheme="minorEastAsia" w:hAnsiTheme="minorEastAsia" w:eastAsiaTheme="minorEastAsia" w:cstheme="minorEastAsia"/>
                <w:kern w:val="0"/>
                <w:sz w:val="21"/>
                <w:szCs w:val="21"/>
                <w:highlight w:val="none"/>
              </w:rPr>
              <w:t>项目细分</w:t>
            </w:r>
          </w:p>
        </w:tc>
        <w:tc>
          <w:tcPr>
            <w:tcW w:w="775" w:type="pct"/>
            <w:tcBorders>
              <w:top w:val="single" w:color="auto" w:sz="4" w:space="0"/>
              <w:left w:val="nil"/>
              <w:bottom w:val="single" w:color="auto" w:sz="4" w:space="0"/>
              <w:right w:val="single" w:color="auto" w:sz="4" w:space="0"/>
            </w:tcBorders>
            <w:noWrap w:val="0"/>
            <w:vAlign w:val="center"/>
          </w:tcPr>
          <w:p w14:paraId="0828AE69">
            <w:pPr>
              <w:widowControl/>
              <w:jc w:val="center"/>
              <w:rPr>
                <w:rFonts w:hint="eastAsia" w:asciiTheme="minorEastAsia" w:hAnsiTheme="minorEastAsia" w:eastAsiaTheme="minorEastAsia" w:cstheme="minorEastAsia"/>
                <w:kern w:val="0"/>
                <w:sz w:val="21"/>
                <w:szCs w:val="21"/>
                <w:highlight w:val="none"/>
              </w:rPr>
            </w:pPr>
            <w:r>
              <w:rPr>
                <w:rFonts w:hint="eastAsia" w:asciiTheme="minorEastAsia" w:hAnsiTheme="minorEastAsia" w:eastAsiaTheme="minorEastAsia" w:cstheme="minorEastAsia"/>
                <w:kern w:val="0"/>
                <w:sz w:val="21"/>
                <w:szCs w:val="21"/>
                <w:highlight w:val="none"/>
              </w:rPr>
              <w:t>权重分值</w:t>
            </w:r>
          </w:p>
        </w:tc>
        <w:tc>
          <w:tcPr>
            <w:tcW w:w="466" w:type="pct"/>
            <w:tcBorders>
              <w:top w:val="single" w:color="auto" w:sz="4" w:space="0"/>
              <w:left w:val="nil"/>
              <w:bottom w:val="single" w:color="auto" w:sz="4" w:space="0"/>
              <w:right w:val="single" w:color="auto" w:sz="4" w:space="0"/>
            </w:tcBorders>
            <w:noWrap w:val="0"/>
            <w:vAlign w:val="center"/>
          </w:tcPr>
          <w:p w14:paraId="3CC5180A">
            <w:pPr>
              <w:widowControl/>
              <w:jc w:val="center"/>
              <w:rPr>
                <w:rFonts w:hint="eastAsia" w:asciiTheme="minorEastAsia" w:hAnsiTheme="minorEastAsia" w:eastAsiaTheme="minorEastAsia" w:cstheme="minorEastAsia"/>
                <w:kern w:val="0"/>
                <w:sz w:val="21"/>
                <w:szCs w:val="21"/>
                <w:highlight w:val="none"/>
              </w:rPr>
            </w:pPr>
            <w:r>
              <w:rPr>
                <w:rFonts w:hint="eastAsia" w:asciiTheme="minorEastAsia" w:hAnsiTheme="minorEastAsia" w:eastAsiaTheme="minorEastAsia" w:cstheme="minorEastAsia"/>
                <w:kern w:val="0"/>
                <w:sz w:val="21"/>
                <w:szCs w:val="21"/>
                <w:highlight w:val="none"/>
              </w:rPr>
              <w:t>得分</w:t>
            </w:r>
          </w:p>
        </w:tc>
        <w:tc>
          <w:tcPr>
            <w:tcW w:w="468" w:type="pct"/>
            <w:tcBorders>
              <w:top w:val="single" w:color="auto" w:sz="4" w:space="0"/>
              <w:left w:val="nil"/>
              <w:bottom w:val="single" w:color="auto" w:sz="4" w:space="0"/>
              <w:right w:val="single" w:color="auto" w:sz="4" w:space="0"/>
            </w:tcBorders>
            <w:noWrap w:val="0"/>
            <w:vAlign w:val="center"/>
          </w:tcPr>
          <w:p w14:paraId="32B3EC5F">
            <w:pPr>
              <w:widowControl/>
              <w:jc w:val="center"/>
              <w:rPr>
                <w:rFonts w:hint="eastAsia" w:asciiTheme="minorEastAsia" w:hAnsiTheme="minorEastAsia" w:eastAsiaTheme="minorEastAsia" w:cstheme="minorEastAsia"/>
                <w:kern w:val="0"/>
                <w:sz w:val="21"/>
                <w:szCs w:val="21"/>
                <w:highlight w:val="none"/>
              </w:rPr>
            </w:pPr>
            <w:r>
              <w:rPr>
                <w:rFonts w:hint="eastAsia" w:asciiTheme="minorEastAsia" w:hAnsiTheme="minorEastAsia" w:eastAsiaTheme="minorEastAsia" w:cstheme="minorEastAsia"/>
                <w:kern w:val="0"/>
                <w:sz w:val="21"/>
                <w:szCs w:val="21"/>
                <w:highlight w:val="none"/>
              </w:rPr>
              <w:t>说明</w:t>
            </w:r>
          </w:p>
        </w:tc>
      </w:tr>
      <w:tr w14:paraId="1868BC00">
        <w:tblPrEx>
          <w:tblCellMar>
            <w:top w:w="0" w:type="dxa"/>
            <w:left w:w="108" w:type="dxa"/>
            <w:bottom w:w="0" w:type="dxa"/>
            <w:right w:w="108" w:type="dxa"/>
          </w:tblCellMar>
        </w:tblPrEx>
        <w:trPr>
          <w:trHeight w:val="445" w:hRule="atLeast"/>
          <w:jc w:val="center"/>
        </w:trPr>
        <w:tc>
          <w:tcPr>
            <w:tcW w:w="466" w:type="pct"/>
            <w:vMerge w:val="restart"/>
            <w:tcBorders>
              <w:top w:val="nil"/>
              <w:left w:val="single" w:color="auto" w:sz="4" w:space="0"/>
              <w:right w:val="single" w:color="auto" w:sz="4" w:space="0"/>
            </w:tcBorders>
            <w:noWrap w:val="0"/>
            <w:vAlign w:val="center"/>
          </w:tcPr>
          <w:p w14:paraId="13EAB487">
            <w:pPr>
              <w:wordWrap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1</w:t>
            </w:r>
          </w:p>
        </w:tc>
        <w:tc>
          <w:tcPr>
            <w:tcW w:w="814" w:type="pct"/>
            <w:vMerge w:val="restart"/>
            <w:tcBorders>
              <w:top w:val="nil"/>
              <w:left w:val="single" w:color="auto" w:sz="4" w:space="0"/>
              <w:right w:val="single" w:color="auto" w:sz="4" w:space="0"/>
            </w:tcBorders>
            <w:noWrap w:val="0"/>
            <w:vAlign w:val="center"/>
          </w:tcPr>
          <w:p w14:paraId="6B7FFDE0">
            <w:pPr>
              <w:wordWrap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食品安全</w:t>
            </w:r>
            <w:r>
              <w:rPr>
                <w:rFonts w:hint="eastAsia" w:asciiTheme="minorEastAsia" w:hAnsiTheme="minorEastAsia" w:eastAsiaTheme="minorEastAsia" w:cstheme="minorEastAsia"/>
                <w:sz w:val="21"/>
                <w:szCs w:val="21"/>
                <w:highlight w:val="none"/>
              </w:rPr>
              <w:br w:type="textWrapping"/>
            </w:r>
            <w:r>
              <w:rPr>
                <w:rFonts w:hint="eastAsia" w:asciiTheme="minorEastAsia" w:hAnsiTheme="minorEastAsia" w:eastAsiaTheme="minorEastAsia" w:cstheme="minorEastAsia"/>
                <w:sz w:val="21"/>
                <w:szCs w:val="21"/>
                <w:highlight w:val="none"/>
              </w:rPr>
              <w:t>（20分）</w:t>
            </w:r>
          </w:p>
        </w:tc>
        <w:tc>
          <w:tcPr>
            <w:tcW w:w="2009" w:type="pct"/>
            <w:tcBorders>
              <w:top w:val="nil"/>
              <w:left w:val="nil"/>
              <w:bottom w:val="single" w:color="auto" w:sz="4" w:space="0"/>
              <w:right w:val="single" w:color="auto" w:sz="4" w:space="0"/>
            </w:tcBorders>
            <w:noWrap w:val="0"/>
            <w:vAlign w:val="center"/>
          </w:tcPr>
          <w:p w14:paraId="44F89039">
            <w:pPr>
              <w:wordWrap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食品加工卫生情况</w:t>
            </w:r>
          </w:p>
        </w:tc>
        <w:tc>
          <w:tcPr>
            <w:tcW w:w="775" w:type="pct"/>
            <w:tcBorders>
              <w:top w:val="nil"/>
              <w:left w:val="nil"/>
              <w:bottom w:val="single" w:color="auto" w:sz="4" w:space="0"/>
              <w:right w:val="single" w:color="auto" w:sz="4" w:space="0"/>
            </w:tcBorders>
            <w:noWrap w:val="0"/>
            <w:vAlign w:val="center"/>
          </w:tcPr>
          <w:p w14:paraId="54DFC2AB">
            <w:pPr>
              <w:wordWrap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5</w:t>
            </w:r>
          </w:p>
        </w:tc>
        <w:tc>
          <w:tcPr>
            <w:tcW w:w="466" w:type="pct"/>
            <w:tcBorders>
              <w:top w:val="nil"/>
              <w:left w:val="nil"/>
              <w:bottom w:val="single" w:color="auto" w:sz="4" w:space="0"/>
              <w:right w:val="single" w:color="auto" w:sz="4" w:space="0"/>
            </w:tcBorders>
            <w:noWrap w:val="0"/>
            <w:vAlign w:val="center"/>
          </w:tcPr>
          <w:p w14:paraId="325F44D5">
            <w:pPr>
              <w:wordWrap w:val="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　</w:t>
            </w:r>
          </w:p>
        </w:tc>
        <w:tc>
          <w:tcPr>
            <w:tcW w:w="468" w:type="pct"/>
            <w:tcBorders>
              <w:top w:val="nil"/>
              <w:left w:val="nil"/>
              <w:bottom w:val="single" w:color="auto" w:sz="4" w:space="0"/>
              <w:right w:val="single" w:color="auto" w:sz="4" w:space="0"/>
            </w:tcBorders>
            <w:noWrap w:val="0"/>
            <w:vAlign w:val="center"/>
          </w:tcPr>
          <w:p w14:paraId="77A7CC62">
            <w:pPr>
              <w:wordWrap w:val="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　</w:t>
            </w:r>
          </w:p>
        </w:tc>
      </w:tr>
      <w:tr w14:paraId="19C520C9">
        <w:tblPrEx>
          <w:tblCellMar>
            <w:top w:w="0" w:type="dxa"/>
            <w:left w:w="108" w:type="dxa"/>
            <w:bottom w:w="0" w:type="dxa"/>
            <w:right w:w="108" w:type="dxa"/>
          </w:tblCellMar>
        </w:tblPrEx>
        <w:trPr>
          <w:trHeight w:val="445" w:hRule="atLeast"/>
          <w:jc w:val="center"/>
        </w:trPr>
        <w:tc>
          <w:tcPr>
            <w:tcW w:w="466" w:type="pct"/>
            <w:vMerge w:val="continue"/>
            <w:tcBorders>
              <w:left w:val="single" w:color="auto" w:sz="4" w:space="0"/>
              <w:right w:val="single" w:color="auto" w:sz="4" w:space="0"/>
            </w:tcBorders>
            <w:noWrap w:val="0"/>
            <w:vAlign w:val="center"/>
          </w:tcPr>
          <w:p w14:paraId="38738290">
            <w:pPr>
              <w:wordWrap w:val="0"/>
              <w:jc w:val="center"/>
              <w:rPr>
                <w:rFonts w:hint="eastAsia" w:asciiTheme="minorEastAsia" w:hAnsiTheme="minorEastAsia" w:eastAsiaTheme="minorEastAsia" w:cstheme="minorEastAsia"/>
                <w:sz w:val="21"/>
                <w:szCs w:val="21"/>
                <w:highlight w:val="none"/>
              </w:rPr>
            </w:pPr>
          </w:p>
        </w:tc>
        <w:tc>
          <w:tcPr>
            <w:tcW w:w="814" w:type="pct"/>
            <w:vMerge w:val="continue"/>
            <w:tcBorders>
              <w:left w:val="single" w:color="auto" w:sz="4" w:space="0"/>
              <w:right w:val="single" w:color="auto" w:sz="4" w:space="0"/>
            </w:tcBorders>
            <w:noWrap w:val="0"/>
            <w:vAlign w:val="center"/>
          </w:tcPr>
          <w:p w14:paraId="3A9AD80C">
            <w:pPr>
              <w:wordWrap w:val="0"/>
              <w:jc w:val="center"/>
              <w:rPr>
                <w:rFonts w:hint="eastAsia" w:asciiTheme="minorEastAsia" w:hAnsiTheme="minorEastAsia" w:eastAsiaTheme="minorEastAsia" w:cstheme="minorEastAsia"/>
                <w:sz w:val="21"/>
                <w:szCs w:val="21"/>
                <w:highlight w:val="none"/>
              </w:rPr>
            </w:pPr>
          </w:p>
        </w:tc>
        <w:tc>
          <w:tcPr>
            <w:tcW w:w="2009" w:type="pct"/>
            <w:tcBorders>
              <w:top w:val="nil"/>
              <w:left w:val="nil"/>
              <w:bottom w:val="single" w:color="auto" w:sz="4" w:space="0"/>
              <w:right w:val="single" w:color="auto" w:sz="4" w:space="0"/>
            </w:tcBorders>
            <w:noWrap w:val="0"/>
            <w:vAlign w:val="center"/>
          </w:tcPr>
          <w:p w14:paraId="711D2DE4">
            <w:pPr>
              <w:wordWrap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食堂留样执行情况</w:t>
            </w:r>
          </w:p>
        </w:tc>
        <w:tc>
          <w:tcPr>
            <w:tcW w:w="775" w:type="pct"/>
            <w:tcBorders>
              <w:top w:val="nil"/>
              <w:left w:val="nil"/>
              <w:bottom w:val="single" w:color="auto" w:sz="4" w:space="0"/>
              <w:right w:val="single" w:color="auto" w:sz="4" w:space="0"/>
            </w:tcBorders>
            <w:noWrap w:val="0"/>
            <w:vAlign w:val="center"/>
          </w:tcPr>
          <w:p w14:paraId="0A68FF01">
            <w:pPr>
              <w:wordWrap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5</w:t>
            </w:r>
          </w:p>
        </w:tc>
        <w:tc>
          <w:tcPr>
            <w:tcW w:w="466" w:type="pct"/>
            <w:tcBorders>
              <w:top w:val="nil"/>
              <w:left w:val="nil"/>
              <w:bottom w:val="single" w:color="auto" w:sz="4" w:space="0"/>
              <w:right w:val="single" w:color="auto" w:sz="4" w:space="0"/>
            </w:tcBorders>
            <w:noWrap w:val="0"/>
            <w:vAlign w:val="center"/>
          </w:tcPr>
          <w:p w14:paraId="1375CA9B">
            <w:pPr>
              <w:wordWrap w:val="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　</w:t>
            </w:r>
          </w:p>
        </w:tc>
        <w:tc>
          <w:tcPr>
            <w:tcW w:w="468" w:type="pct"/>
            <w:tcBorders>
              <w:top w:val="nil"/>
              <w:left w:val="nil"/>
              <w:bottom w:val="single" w:color="auto" w:sz="4" w:space="0"/>
              <w:right w:val="single" w:color="auto" w:sz="4" w:space="0"/>
            </w:tcBorders>
            <w:noWrap w:val="0"/>
            <w:vAlign w:val="center"/>
          </w:tcPr>
          <w:p w14:paraId="1B3FCBBF">
            <w:pPr>
              <w:wordWrap w:val="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　</w:t>
            </w:r>
          </w:p>
        </w:tc>
      </w:tr>
      <w:tr w14:paraId="709E9962">
        <w:tblPrEx>
          <w:tblCellMar>
            <w:top w:w="0" w:type="dxa"/>
            <w:left w:w="108" w:type="dxa"/>
            <w:bottom w:w="0" w:type="dxa"/>
            <w:right w:w="108" w:type="dxa"/>
          </w:tblCellMar>
        </w:tblPrEx>
        <w:trPr>
          <w:trHeight w:val="445" w:hRule="atLeast"/>
          <w:jc w:val="center"/>
        </w:trPr>
        <w:tc>
          <w:tcPr>
            <w:tcW w:w="466" w:type="pct"/>
            <w:vMerge w:val="continue"/>
            <w:tcBorders>
              <w:left w:val="single" w:color="auto" w:sz="4" w:space="0"/>
              <w:right w:val="single" w:color="auto" w:sz="4" w:space="0"/>
            </w:tcBorders>
            <w:noWrap w:val="0"/>
            <w:vAlign w:val="center"/>
          </w:tcPr>
          <w:p w14:paraId="749A5C8B">
            <w:pPr>
              <w:wordWrap w:val="0"/>
              <w:jc w:val="center"/>
              <w:rPr>
                <w:rFonts w:hint="eastAsia" w:asciiTheme="minorEastAsia" w:hAnsiTheme="minorEastAsia" w:eastAsiaTheme="minorEastAsia" w:cstheme="minorEastAsia"/>
                <w:sz w:val="21"/>
                <w:szCs w:val="21"/>
                <w:highlight w:val="none"/>
              </w:rPr>
            </w:pPr>
          </w:p>
        </w:tc>
        <w:tc>
          <w:tcPr>
            <w:tcW w:w="814" w:type="pct"/>
            <w:vMerge w:val="continue"/>
            <w:tcBorders>
              <w:left w:val="single" w:color="auto" w:sz="4" w:space="0"/>
              <w:right w:val="single" w:color="auto" w:sz="4" w:space="0"/>
            </w:tcBorders>
            <w:noWrap w:val="0"/>
            <w:vAlign w:val="center"/>
          </w:tcPr>
          <w:p w14:paraId="7ACD9BE2">
            <w:pPr>
              <w:wordWrap w:val="0"/>
              <w:jc w:val="center"/>
              <w:rPr>
                <w:rFonts w:hint="eastAsia" w:asciiTheme="minorEastAsia" w:hAnsiTheme="minorEastAsia" w:eastAsiaTheme="minorEastAsia" w:cstheme="minorEastAsia"/>
                <w:sz w:val="21"/>
                <w:szCs w:val="21"/>
                <w:highlight w:val="none"/>
              </w:rPr>
            </w:pPr>
          </w:p>
        </w:tc>
        <w:tc>
          <w:tcPr>
            <w:tcW w:w="2009" w:type="pct"/>
            <w:tcBorders>
              <w:top w:val="nil"/>
              <w:left w:val="nil"/>
              <w:bottom w:val="single" w:color="auto" w:sz="4" w:space="0"/>
              <w:right w:val="single" w:color="auto" w:sz="4" w:space="0"/>
            </w:tcBorders>
            <w:noWrap w:val="0"/>
            <w:vAlign w:val="center"/>
          </w:tcPr>
          <w:p w14:paraId="79420AD3">
            <w:pPr>
              <w:wordWrap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用电用气安全管理情况</w:t>
            </w:r>
          </w:p>
        </w:tc>
        <w:tc>
          <w:tcPr>
            <w:tcW w:w="775" w:type="pct"/>
            <w:tcBorders>
              <w:top w:val="nil"/>
              <w:left w:val="nil"/>
              <w:bottom w:val="single" w:color="auto" w:sz="4" w:space="0"/>
              <w:right w:val="single" w:color="auto" w:sz="4" w:space="0"/>
            </w:tcBorders>
            <w:noWrap w:val="0"/>
            <w:vAlign w:val="center"/>
          </w:tcPr>
          <w:p w14:paraId="5C563E86">
            <w:pPr>
              <w:wordWrap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5</w:t>
            </w:r>
          </w:p>
        </w:tc>
        <w:tc>
          <w:tcPr>
            <w:tcW w:w="466" w:type="pct"/>
            <w:tcBorders>
              <w:top w:val="nil"/>
              <w:left w:val="nil"/>
              <w:bottom w:val="single" w:color="auto" w:sz="4" w:space="0"/>
              <w:right w:val="single" w:color="auto" w:sz="4" w:space="0"/>
            </w:tcBorders>
            <w:noWrap w:val="0"/>
            <w:vAlign w:val="center"/>
          </w:tcPr>
          <w:p w14:paraId="29287CB2">
            <w:pPr>
              <w:wordWrap w:val="0"/>
              <w:rPr>
                <w:rFonts w:hint="eastAsia" w:asciiTheme="minorEastAsia" w:hAnsiTheme="minorEastAsia" w:eastAsiaTheme="minorEastAsia" w:cstheme="minorEastAsia"/>
                <w:sz w:val="21"/>
                <w:szCs w:val="21"/>
                <w:highlight w:val="none"/>
              </w:rPr>
            </w:pPr>
          </w:p>
        </w:tc>
        <w:tc>
          <w:tcPr>
            <w:tcW w:w="468" w:type="pct"/>
            <w:tcBorders>
              <w:top w:val="nil"/>
              <w:left w:val="nil"/>
              <w:bottom w:val="single" w:color="auto" w:sz="4" w:space="0"/>
              <w:right w:val="single" w:color="auto" w:sz="4" w:space="0"/>
            </w:tcBorders>
            <w:noWrap w:val="0"/>
            <w:vAlign w:val="center"/>
          </w:tcPr>
          <w:p w14:paraId="7514B4EF">
            <w:pPr>
              <w:wordWrap w:val="0"/>
              <w:rPr>
                <w:rFonts w:hint="eastAsia" w:asciiTheme="minorEastAsia" w:hAnsiTheme="minorEastAsia" w:eastAsiaTheme="minorEastAsia" w:cstheme="minorEastAsia"/>
                <w:sz w:val="21"/>
                <w:szCs w:val="21"/>
                <w:highlight w:val="none"/>
              </w:rPr>
            </w:pPr>
          </w:p>
        </w:tc>
      </w:tr>
      <w:tr w14:paraId="38FB61BA">
        <w:tblPrEx>
          <w:tblCellMar>
            <w:top w:w="0" w:type="dxa"/>
            <w:left w:w="108" w:type="dxa"/>
            <w:bottom w:w="0" w:type="dxa"/>
            <w:right w:w="108" w:type="dxa"/>
          </w:tblCellMar>
        </w:tblPrEx>
        <w:trPr>
          <w:trHeight w:val="445" w:hRule="atLeast"/>
          <w:jc w:val="center"/>
        </w:trPr>
        <w:tc>
          <w:tcPr>
            <w:tcW w:w="466" w:type="pct"/>
            <w:vMerge w:val="continue"/>
            <w:tcBorders>
              <w:left w:val="single" w:color="auto" w:sz="4" w:space="0"/>
              <w:bottom w:val="single" w:color="auto" w:sz="4" w:space="0"/>
              <w:right w:val="single" w:color="auto" w:sz="4" w:space="0"/>
            </w:tcBorders>
            <w:noWrap w:val="0"/>
            <w:vAlign w:val="center"/>
          </w:tcPr>
          <w:p w14:paraId="4FCCDF31">
            <w:pPr>
              <w:wordWrap w:val="0"/>
              <w:jc w:val="center"/>
              <w:rPr>
                <w:rFonts w:hint="eastAsia" w:asciiTheme="minorEastAsia" w:hAnsiTheme="minorEastAsia" w:eastAsiaTheme="minorEastAsia" w:cstheme="minorEastAsia"/>
                <w:sz w:val="21"/>
                <w:szCs w:val="21"/>
                <w:highlight w:val="none"/>
              </w:rPr>
            </w:pPr>
          </w:p>
        </w:tc>
        <w:tc>
          <w:tcPr>
            <w:tcW w:w="814" w:type="pct"/>
            <w:vMerge w:val="continue"/>
            <w:tcBorders>
              <w:left w:val="single" w:color="auto" w:sz="4" w:space="0"/>
              <w:bottom w:val="single" w:color="auto" w:sz="4" w:space="0"/>
              <w:right w:val="single" w:color="auto" w:sz="4" w:space="0"/>
            </w:tcBorders>
            <w:noWrap w:val="0"/>
            <w:vAlign w:val="center"/>
          </w:tcPr>
          <w:p w14:paraId="53FE810F">
            <w:pPr>
              <w:wordWrap w:val="0"/>
              <w:jc w:val="center"/>
              <w:rPr>
                <w:rFonts w:hint="eastAsia" w:asciiTheme="minorEastAsia" w:hAnsiTheme="minorEastAsia" w:eastAsiaTheme="minorEastAsia" w:cstheme="minorEastAsia"/>
                <w:sz w:val="21"/>
                <w:szCs w:val="21"/>
                <w:highlight w:val="none"/>
              </w:rPr>
            </w:pPr>
          </w:p>
        </w:tc>
        <w:tc>
          <w:tcPr>
            <w:tcW w:w="2009" w:type="pct"/>
            <w:tcBorders>
              <w:top w:val="nil"/>
              <w:left w:val="nil"/>
              <w:bottom w:val="single" w:color="auto" w:sz="4" w:space="0"/>
              <w:right w:val="single" w:color="auto" w:sz="4" w:space="0"/>
            </w:tcBorders>
            <w:noWrap w:val="0"/>
            <w:vAlign w:val="center"/>
          </w:tcPr>
          <w:p w14:paraId="79AE2921">
            <w:pPr>
              <w:wordWrap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员工安全培训情况</w:t>
            </w:r>
          </w:p>
        </w:tc>
        <w:tc>
          <w:tcPr>
            <w:tcW w:w="775" w:type="pct"/>
            <w:tcBorders>
              <w:top w:val="nil"/>
              <w:left w:val="nil"/>
              <w:bottom w:val="single" w:color="auto" w:sz="4" w:space="0"/>
              <w:right w:val="single" w:color="auto" w:sz="4" w:space="0"/>
            </w:tcBorders>
            <w:noWrap w:val="0"/>
            <w:vAlign w:val="center"/>
          </w:tcPr>
          <w:p w14:paraId="55214AC3">
            <w:pPr>
              <w:wordWrap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5</w:t>
            </w:r>
          </w:p>
        </w:tc>
        <w:tc>
          <w:tcPr>
            <w:tcW w:w="466" w:type="pct"/>
            <w:tcBorders>
              <w:top w:val="nil"/>
              <w:left w:val="nil"/>
              <w:bottom w:val="single" w:color="auto" w:sz="4" w:space="0"/>
              <w:right w:val="single" w:color="auto" w:sz="4" w:space="0"/>
            </w:tcBorders>
            <w:noWrap w:val="0"/>
            <w:vAlign w:val="center"/>
          </w:tcPr>
          <w:p w14:paraId="020F42F7">
            <w:pPr>
              <w:wordWrap w:val="0"/>
              <w:rPr>
                <w:rFonts w:hint="eastAsia" w:asciiTheme="minorEastAsia" w:hAnsiTheme="minorEastAsia" w:eastAsiaTheme="minorEastAsia" w:cstheme="minorEastAsia"/>
                <w:sz w:val="21"/>
                <w:szCs w:val="21"/>
                <w:highlight w:val="none"/>
              </w:rPr>
            </w:pPr>
          </w:p>
        </w:tc>
        <w:tc>
          <w:tcPr>
            <w:tcW w:w="468" w:type="pct"/>
            <w:tcBorders>
              <w:top w:val="nil"/>
              <w:left w:val="nil"/>
              <w:bottom w:val="single" w:color="auto" w:sz="4" w:space="0"/>
              <w:right w:val="single" w:color="auto" w:sz="4" w:space="0"/>
            </w:tcBorders>
            <w:noWrap w:val="0"/>
            <w:vAlign w:val="center"/>
          </w:tcPr>
          <w:p w14:paraId="6A0478F2">
            <w:pPr>
              <w:wordWrap w:val="0"/>
              <w:rPr>
                <w:rFonts w:hint="eastAsia" w:asciiTheme="minorEastAsia" w:hAnsiTheme="minorEastAsia" w:eastAsiaTheme="minorEastAsia" w:cstheme="minorEastAsia"/>
                <w:sz w:val="21"/>
                <w:szCs w:val="21"/>
                <w:highlight w:val="none"/>
              </w:rPr>
            </w:pPr>
          </w:p>
        </w:tc>
      </w:tr>
      <w:tr w14:paraId="01943ED8">
        <w:tblPrEx>
          <w:tblCellMar>
            <w:top w:w="0" w:type="dxa"/>
            <w:left w:w="108" w:type="dxa"/>
            <w:bottom w:w="0" w:type="dxa"/>
            <w:right w:w="108" w:type="dxa"/>
          </w:tblCellMar>
        </w:tblPrEx>
        <w:trPr>
          <w:trHeight w:val="445" w:hRule="atLeast"/>
          <w:jc w:val="center"/>
        </w:trPr>
        <w:tc>
          <w:tcPr>
            <w:tcW w:w="466" w:type="pct"/>
            <w:vMerge w:val="restart"/>
            <w:tcBorders>
              <w:top w:val="single" w:color="auto" w:sz="4" w:space="0"/>
              <w:left w:val="single" w:color="auto" w:sz="4" w:space="0"/>
              <w:right w:val="single" w:color="auto" w:sz="4" w:space="0"/>
            </w:tcBorders>
            <w:noWrap w:val="0"/>
            <w:vAlign w:val="center"/>
          </w:tcPr>
          <w:p w14:paraId="55FC7BAA">
            <w:pPr>
              <w:wordWrap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2</w:t>
            </w:r>
          </w:p>
          <w:p w14:paraId="02C9FB84">
            <w:pPr>
              <w:wordWrap w:val="0"/>
              <w:jc w:val="center"/>
              <w:rPr>
                <w:rFonts w:hint="eastAsia" w:asciiTheme="minorEastAsia" w:hAnsiTheme="minorEastAsia" w:eastAsiaTheme="minorEastAsia" w:cstheme="minorEastAsia"/>
                <w:sz w:val="21"/>
                <w:szCs w:val="21"/>
                <w:highlight w:val="none"/>
              </w:rPr>
            </w:pPr>
          </w:p>
          <w:p w14:paraId="0EBE2BCC">
            <w:pPr>
              <w:wordWrap w:val="0"/>
              <w:jc w:val="center"/>
              <w:rPr>
                <w:rFonts w:hint="eastAsia" w:asciiTheme="minorEastAsia" w:hAnsiTheme="minorEastAsia" w:eastAsiaTheme="minorEastAsia" w:cstheme="minorEastAsia"/>
                <w:sz w:val="21"/>
                <w:szCs w:val="21"/>
                <w:highlight w:val="none"/>
              </w:rPr>
            </w:pPr>
          </w:p>
        </w:tc>
        <w:tc>
          <w:tcPr>
            <w:tcW w:w="814" w:type="pct"/>
            <w:vMerge w:val="restart"/>
            <w:tcBorders>
              <w:top w:val="single" w:color="auto" w:sz="4" w:space="0"/>
              <w:left w:val="single" w:color="auto" w:sz="4" w:space="0"/>
              <w:right w:val="single" w:color="auto" w:sz="4" w:space="0"/>
            </w:tcBorders>
            <w:noWrap w:val="0"/>
            <w:vAlign w:val="center"/>
          </w:tcPr>
          <w:p w14:paraId="0216A0C6">
            <w:pPr>
              <w:wordWrap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服务要求</w:t>
            </w:r>
            <w:r>
              <w:rPr>
                <w:rFonts w:hint="eastAsia" w:asciiTheme="minorEastAsia" w:hAnsiTheme="minorEastAsia" w:eastAsiaTheme="minorEastAsia" w:cstheme="minorEastAsia"/>
                <w:sz w:val="21"/>
                <w:szCs w:val="21"/>
                <w:highlight w:val="none"/>
              </w:rPr>
              <w:br w:type="textWrapping"/>
            </w:r>
            <w:r>
              <w:rPr>
                <w:rFonts w:hint="eastAsia" w:asciiTheme="minorEastAsia" w:hAnsiTheme="minorEastAsia" w:eastAsiaTheme="minorEastAsia" w:cstheme="minorEastAsia"/>
                <w:sz w:val="21"/>
                <w:szCs w:val="21"/>
                <w:highlight w:val="none"/>
              </w:rPr>
              <w:t>（20分）</w:t>
            </w:r>
          </w:p>
          <w:p w14:paraId="141D5261">
            <w:pPr>
              <w:wordWrap w:val="0"/>
              <w:jc w:val="center"/>
              <w:rPr>
                <w:rFonts w:hint="eastAsia" w:asciiTheme="minorEastAsia" w:hAnsiTheme="minorEastAsia" w:eastAsiaTheme="minorEastAsia" w:cstheme="minorEastAsia"/>
                <w:sz w:val="21"/>
                <w:szCs w:val="21"/>
                <w:highlight w:val="none"/>
              </w:rPr>
            </w:pPr>
          </w:p>
        </w:tc>
        <w:tc>
          <w:tcPr>
            <w:tcW w:w="2009" w:type="pct"/>
            <w:tcBorders>
              <w:top w:val="nil"/>
              <w:left w:val="nil"/>
              <w:bottom w:val="single" w:color="auto" w:sz="4" w:space="0"/>
              <w:right w:val="single" w:color="auto" w:sz="4" w:space="0"/>
            </w:tcBorders>
            <w:noWrap w:val="0"/>
            <w:vAlign w:val="center"/>
          </w:tcPr>
          <w:p w14:paraId="76A5D60E">
            <w:pPr>
              <w:wordWrap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穿着整洁度</w:t>
            </w:r>
          </w:p>
        </w:tc>
        <w:tc>
          <w:tcPr>
            <w:tcW w:w="775" w:type="pct"/>
            <w:tcBorders>
              <w:top w:val="nil"/>
              <w:left w:val="nil"/>
              <w:bottom w:val="single" w:color="auto" w:sz="4" w:space="0"/>
              <w:right w:val="single" w:color="auto" w:sz="4" w:space="0"/>
            </w:tcBorders>
            <w:noWrap w:val="0"/>
            <w:vAlign w:val="center"/>
          </w:tcPr>
          <w:p w14:paraId="374C8C7E">
            <w:pPr>
              <w:wordWrap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5</w:t>
            </w:r>
          </w:p>
        </w:tc>
        <w:tc>
          <w:tcPr>
            <w:tcW w:w="466" w:type="pct"/>
            <w:tcBorders>
              <w:top w:val="nil"/>
              <w:left w:val="nil"/>
              <w:bottom w:val="single" w:color="auto" w:sz="4" w:space="0"/>
              <w:right w:val="single" w:color="auto" w:sz="4" w:space="0"/>
            </w:tcBorders>
            <w:noWrap w:val="0"/>
            <w:vAlign w:val="center"/>
          </w:tcPr>
          <w:p w14:paraId="63673C1F">
            <w:pPr>
              <w:wordWrap w:val="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　</w:t>
            </w:r>
          </w:p>
        </w:tc>
        <w:tc>
          <w:tcPr>
            <w:tcW w:w="468" w:type="pct"/>
            <w:tcBorders>
              <w:top w:val="nil"/>
              <w:left w:val="nil"/>
              <w:bottom w:val="single" w:color="auto" w:sz="4" w:space="0"/>
              <w:right w:val="single" w:color="auto" w:sz="4" w:space="0"/>
            </w:tcBorders>
            <w:noWrap w:val="0"/>
            <w:vAlign w:val="center"/>
          </w:tcPr>
          <w:p w14:paraId="1AE9E499">
            <w:pPr>
              <w:wordWrap w:val="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　</w:t>
            </w:r>
          </w:p>
        </w:tc>
      </w:tr>
      <w:tr w14:paraId="6E95E2BF">
        <w:tblPrEx>
          <w:tblCellMar>
            <w:top w:w="0" w:type="dxa"/>
            <w:left w:w="108" w:type="dxa"/>
            <w:bottom w:w="0" w:type="dxa"/>
            <w:right w:w="108" w:type="dxa"/>
          </w:tblCellMar>
        </w:tblPrEx>
        <w:trPr>
          <w:trHeight w:val="445" w:hRule="atLeast"/>
          <w:jc w:val="center"/>
        </w:trPr>
        <w:tc>
          <w:tcPr>
            <w:tcW w:w="466" w:type="pct"/>
            <w:vMerge w:val="continue"/>
            <w:tcBorders>
              <w:left w:val="single" w:color="auto" w:sz="4" w:space="0"/>
              <w:right w:val="single" w:color="auto" w:sz="4" w:space="0"/>
            </w:tcBorders>
            <w:noWrap w:val="0"/>
            <w:vAlign w:val="center"/>
          </w:tcPr>
          <w:p w14:paraId="50925CCB">
            <w:pPr>
              <w:wordWrap w:val="0"/>
              <w:jc w:val="center"/>
              <w:rPr>
                <w:rFonts w:hint="eastAsia" w:asciiTheme="minorEastAsia" w:hAnsiTheme="minorEastAsia" w:eastAsiaTheme="minorEastAsia" w:cstheme="minorEastAsia"/>
                <w:sz w:val="21"/>
                <w:szCs w:val="21"/>
                <w:highlight w:val="none"/>
              </w:rPr>
            </w:pPr>
          </w:p>
        </w:tc>
        <w:tc>
          <w:tcPr>
            <w:tcW w:w="814" w:type="pct"/>
            <w:vMerge w:val="continue"/>
            <w:tcBorders>
              <w:left w:val="single" w:color="auto" w:sz="4" w:space="0"/>
              <w:right w:val="single" w:color="auto" w:sz="4" w:space="0"/>
            </w:tcBorders>
            <w:noWrap w:val="0"/>
            <w:vAlign w:val="center"/>
          </w:tcPr>
          <w:p w14:paraId="02D9C26A">
            <w:pPr>
              <w:wordWrap w:val="0"/>
              <w:jc w:val="center"/>
              <w:rPr>
                <w:rFonts w:hint="eastAsia" w:asciiTheme="minorEastAsia" w:hAnsiTheme="minorEastAsia" w:eastAsiaTheme="minorEastAsia" w:cstheme="minorEastAsia"/>
                <w:sz w:val="21"/>
                <w:szCs w:val="21"/>
                <w:highlight w:val="none"/>
              </w:rPr>
            </w:pPr>
          </w:p>
        </w:tc>
        <w:tc>
          <w:tcPr>
            <w:tcW w:w="2009" w:type="pct"/>
            <w:tcBorders>
              <w:top w:val="nil"/>
              <w:left w:val="nil"/>
              <w:bottom w:val="single" w:color="auto" w:sz="4" w:space="0"/>
              <w:right w:val="single" w:color="auto" w:sz="4" w:space="0"/>
            </w:tcBorders>
            <w:noWrap w:val="0"/>
            <w:vAlign w:val="center"/>
          </w:tcPr>
          <w:p w14:paraId="3F8B0274">
            <w:pPr>
              <w:wordWrap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个人卫生情况（含健康证）</w:t>
            </w:r>
          </w:p>
        </w:tc>
        <w:tc>
          <w:tcPr>
            <w:tcW w:w="775" w:type="pct"/>
            <w:tcBorders>
              <w:top w:val="nil"/>
              <w:left w:val="nil"/>
              <w:bottom w:val="single" w:color="auto" w:sz="4" w:space="0"/>
              <w:right w:val="single" w:color="auto" w:sz="4" w:space="0"/>
            </w:tcBorders>
            <w:noWrap w:val="0"/>
            <w:vAlign w:val="center"/>
          </w:tcPr>
          <w:p w14:paraId="71CEC008">
            <w:pPr>
              <w:wordWrap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5</w:t>
            </w:r>
          </w:p>
        </w:tc>
        <w:tc>
          <w:tcPr>
            <w:tcW w:w="466" w:type="pct"/>
            <w:tcBorders>
              <w:top w:val="nil"/>
              <w:left w:val="nil"/>
              <w:bottom w:val="single" w:color="auto" w:sz="4" w:space="0"/>
              <w:right w:val="single" w:color="auto" w:sz="4" w:space="0"/>
            </w:tcBorders>
            <w:noWrap w:val="0"/>
            <w:vAlign w:val="center"/>
          </w:tcPr>
          <w:p w14:paraId="22E6E684">
            <w:pPr>
              <w:wordWrap w:val="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　</w:t>
            </w:r>
          </w:p>
        </w:tc>
        <w:tc>
          <w:tcPr>
            <w:tcW w:w="468" w:type="pct"/>
            <w:tcBorders>
              <w:top w:val="nil"/>
              <w:left w:val="nil"/>
              <w:bottom w:val="single" w:color="auto" w:sz="4" w:space="0"/>
              <w:right w:val="single" w:color="auto" w:sz="4" w:space="0"/>
            </w:tcBorders>
            <w:noWrap w:val="0"/>
            <w:vAlign w:val="center"/>
          </w:tcPr>
          <w:p w14:paraId="3F981DDE">
            <w:pPr>
              <w:wordWrap w:val="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　</w:t>
            </w:r>
          </w:p>
        </w:tc>
      </w:tr>
      <w:tr w14:paraId="073B49B9">
        <w:tblPrEx>
          <w:tblCellMar>
            <w:top w:w="0" w:type="dxa"/>
            <w:left w:w="108" w:type="dxa"/>
            <w:bottom w:w="0" w:type="dxa"/>
            <w:right w:w="108" w:type="dxa"/>
          </w:tblCellMar>
        </w:tblPrEx>
        <w:trPr>
          <w:trHeight w:val="445" w:hRule="atLeast"/>
          <w:jc w:val="center"/>
        </w:trPr>
        <w:tc>
          <w:tcPr>
            <w:tcW w:w="466" w:type="pct"/>
            <w:vMerge w:val="continue"/>
            <w:tcBorders>
              <w:left w:val="single" w:color="auto" w:sz="4" w:space="0"/>
              <w:right w:val="single" w:color="auto" w:sz="4" w:space="0"/>
            </w:tcBorders>
            <w:noWrap w:val="0"/>
            <w:vAlign w:val="center"/>
          </w:tcPr>
          <w:p w14:paraId="7B576757">
            <w:pPr>
              <w:wordWrap w:val="0"/>
              <w:jc w:val="center"/>
              <w:rPr>
                <w:rFonts w:hint="eastAsia" w:asciiTheme="minorEastAsia" w:hAnsiTheme="minorEastAsia" w:eastAsiaTheme="minorEastAsia" w:cstheme="minorEastAsia"/>
                <w:sz w:val="21"/>
                <w:szCs w:val="21"/>
                <w:highlight w:val="none"/>
              </w:rPr>
            </w:pPr>
          </w:p>
        </w:tc>
        <w:tc>
          <w:tcPr>
            <w:tcW w:w="814" w:type="pct"/>
            <w:vMerge w:val="continue"/>
            <w:tcBorders>
              <w:left w:val="single" w:color="auto" w:sz="4" w:space="0"/>
              <w:right w:val="single" w:color="auto" w:sz="4" w:space="0"/>
            </w:tcBorders>
            <w:noWrap w:val="0"/>
            <w:vAlign w:val="center"/>
          </w:tcPr>
          <w:p w14:paraId="30E762DA">
            <w:pPr>
              <w:wordWrap w:val="0"/>
              <w:jc w:val="center"/>
              <w:rPr>
                <w:rFonts w:hint="eastAsia" w:asciiTheme="minorEastAsia" w:hAnsiTheme="minorEastAsia" w:eastAsiaTheme="minorEastAsia" w:cstheme="minorEastAsia"/>
                <w:sz w:val="21"/>
                <w:szCs w:val="21"/>
                <w:highlight w:val="none"/>
              </w:rPr>
            </w:pPr>
          </w:p>
        </w:tc>
        <w:tc>
          <w:tcPr>
            <w:tcW w:w="2009" w:type="pct"/>
            <w:tcBorders>
              <w:top w:val="nil"/>
              <w:left w:val="nil"/>
              <w:bottom w:val="single" w:color="auto" w:sz="4" w:space="0"/>
              <w:right w:val="single" w:color="auto" w:sz="4" w:space="0"/>
            </w:tcBorders>
            <w:noWrap w:val="0"/>
            <w:vAlign w:val="center"/>
          </w:tcPr>
          <w:p w14:paraId="7FFC59FA">
            <w:pPr>
              <w:wordWrap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服务形象</w:t>
            </w:r>
          </w:p>
        </w:tc>
        <w:tc>
          <w:tcPr>
            <w:tcW w:w="775" w:type="pct"/>
            <w:tcBorders>
              <w:top w:val="nil"/>
              <w:left w:val="nil"/>
              <w:bottom w:val="single" w:color="auto" w:sz="4" w:space="0"/>
              <w:right w:val="single" w:color="auto" w:sz="4" w:space="0"/>
            </w:tcBorders>
            <w:noWrap w:val="0"/>
            <w:vAlign w:val="center"/>
          </w:tcPr>
          <w:p w14:paraId="2FC4DDF1">
            <w:pPr>
              <w:wordWrap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5</w:t>
            </w:r>
          </w:p>
        </w:tc>
        <w:tc>
          <w:tcPr>
            <w:tcW w:w="466" w:type="pct"/>
            <w:tcBorders>
              <w:top w:val="nil"/>
              <w:left w:val="nil"/>
              <w:bottom w:val="single" w:color="auto" w:sz="4" w:space="0"/>
              <w:right w:val="single" w:color="auto" w:sz="4" w:space="0"/>
            </w:tcBorders>
            <w:noWrap w:val="0"/>
            <w:vAlign w:val="center"/>
          </w:tcPr>
          <w:p w14:paraId="23052118">
            <w:pPr>
              <w:wordWrap w:val="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　</w:t>
            </w:r>
          </w:p>
        </w:tc>
        <w:tc>
          <w:tcPr>
            <w:tcW w:w="468" w:type="pct"/>
            <w:tcBorders>
              <w:top w:val="nil"/>
              <w:left w:val="nil"/>
              <w:bottom w:val="single" w:color="auto" w:sz="4" w:space="0"/>
              <w:right w:val="single" w:color="auto" w:sz="4" w:space="0"/>
            </w:tcBorders>
            <w:noWrap w:val="0"/>
            <w:vAlign w:val="center"/>
          </w:tcPr>
          <w:p w14:paraId="5BF3362C">
            <w:pPr>
              <w:wordWrap w:val="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　</w:t>
            </w:r>
          </w:p>
        </w:tc>
      </w:tr>
      <w:tr w14:paraId="09990357">
        <w:tblPrEx>
          <w:tblCellMar>
            <w:top w:w="0" w:type="dxa"/>
            <w:left w:w="108" w:type="dxa"/>
            <w:bottom w:w="0" w:type="dxa"/>
            <w:right w:w="108" w:type="dxa"/>
          </w:tblCellMar>
        </w:tblPrEx>
        <w:trPr>
          <w:trHeight w:val="445" w:hRule="atLeast"/>
          <w:jc w:val="center"/>
        </w:trPr>
        <w:tc>
          <w:tcPr>
            <w:tcW w:w="466" w:type="pct"/>
            <w:vMerge w:val="continue"/>
            <w:tcBorders>
              <w:left w:val="single" w:color="auto" w:sz="4" w:space="0"/>
              <w:right w:val="single" w:color="auto" w:sz="4" w:space="0"/>
            </w:tcBorders>
            <w:noWrap w:val="0"/>
            <w:vAlign w:val="center"/>
          </w:tcPr>
          <w:p w14:paraId="64C3E552">
            <w:pPr>
              <w:wordWrap w:val="0"/>
              <w:jc w:val="center"/>
              <w:rPr>
                <w:rFonts w:hint="eastAsia" w:asciiTheme="minorEastAsia" w:hAnsiTheme="minorEastAsia" w:eastAsiaTheme="minorEastAsia" w:cstheme="minorEastAsia"/>
                <w:sz w:val="21"/>
                <w:szCs w:val="21"/>
                <w:highlight w:val="none"/>
              </w:rPr>
            </w:pPr>
          </w:p>
        </w:tc>
        <w:tc>
          <w:tcPr>
            <w:tcW w:w="814" w:type="pct"/>
            <w:vMerge w:val="continue"/>
            <w:tcBorders>
              <w:left w:val="single" w:color="auto" w:sz="4" w:space="0"/>
              <w:bottom w:val="single" w:color="auto" w:sz="4" w:space="0"/>
              <w:right w:val="single" w:color="auto" w:sz="4" w:space="0"/>
            </w:tcBorders>
            <w:noWrap w:val="0"/>
            <w:vAlign w:val="center"/>
          </w:tcPr>
          <w:p w14:paraId="47628359">
            <w:pPr>
              <w:wordWrap w:val="0"/>
              <w:jc w:val="center"/>
              <w:rPr>
                <w:rFonts w:hint="eastAsia" w:asciiTheme="minorEastAsia" w:hAnsiTheme="minorEastAsia" w:eastAsiaTheme="minorEastAsia" w:cstheme="minorEastAsia"/>
                <w:sz w:val="21"/>
                <w:szCs w:val="21"/>
                <w:highlight w:val="none"/>
              </w:rPr>
            </w:pPr>
          </w:p>
        </w:tc>
        <w:tc>
          <w:tcPr>
            <w:tcW w:w="2009" w:type="pct"/>
            <w:tcBorders>
              <w:top w:val="nil"/>
              <w:left w:val="nil"/>
              <w:bottom w:val="single" w:color="auto" w:sz="4" w:space="0"/>
              <w:right w:val="single" w:color="auto" w:sz="4" w:space="0"/>
            </w:tcBorders>
            <w:noWrap w:val="0"/>
            <w:vAlign w:val="center"/>
          </w:tcPr>
          <w:p w14:paraId="4145C2C8">
            <w:pPr>
              <w:wordWrap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服务态度</w:t>
            </w:r>
          </w:p>
        </w:tc>
        <w:tc>
          <w:tcPr>
            <w:tcW w:w="775" w:type="pct"/>
            <w:tcBorders>
              <w:top w:val="nil"/>
              <w:left w:val="nil"/>
              <w:bottom w:val="single" w:color="auto" w:sz="4" w:space="0"/>
              <w:right w:val="single" w:color="auto" w:sz="4" w:space="0"/>
            </w:tcBorders>
            <w:noWrap w:val="0"/>
            <w:vAlign w:val="center"/>
          </w:tcPr>
          <w:p w14:paraId="5D8170BC">
            <w:pPr>
              <w:wordWrap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5</w:t>
            </w:r>
          </w:p>
        </w:tc>
        <w:tc>
          <w:tcPr>
            <w:tcW w:w="466" w:type="pct"/>
            <w:tcBorders>
              <w:top w:val="nil"/>
              <w:left w:val="nil"/>
              <w:bottom w:val="single" w:color="auto" w:sz="4" w:space="0"/>
              <w:right w:val="single" w:color="auto" w:sz="4" w:space="0"/>
            </w:tcBorders>
            <w:noWrap w:val="0"/>
            <w:vAlign w:val="center"/>
          </w:tcPr>
          <w:p w14:paraId="406AC684">
            <w:pPr>
              <w:wordWrap w:val="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　</w:t>
            </w:r>
          </w:p>
        </w:tc>
        <w:tc>
          <w:tcPr>
            <w:tcW w:w="468" w:type="pct"/>
            <w:tcBorders>
              <w:top w:val="nil"/>
              <w:left w:val="nil"/>
              <w:bottom w:val="single" w:color="auto" w:sz="4" w:space="0"/>
              <w:right w:val="single" w:color="auto" w:sz="4" w:space="0"/>
            </w:tcBorders>
            <w:noWrap w:val="0"/>
            <w:vAlign w:val="center"/>
          </w:tcPr>
          <w:p w14:paraId="63B194BA">
            <w:pPr>
              <w:wordWrap w:val="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　</w:t>
            </w:r>
          </w:p>
        </w:tc>
      </w:tr>
      <w:tr w14:paraId="7CC21564">
        <w:tblPrEx>
          <w:tblCellMar>
            <w:top w:w="0" w:type="dxa"/>
            <w:left w:w="108" w:type="dxa"/>
            <w:bottom w:w="0" w:type="dxa"/>
            <w:right w:w="108" w:type="dxa"/>
          </w:tblCellMar>
        </w:tblPrEx>
        <w:trPr>
          <w:trHeight w:val="445" w:hRule="atLeast"/>
          <w:jc w:val="center"/>
        </w:trPr>
        <w:tc>
          <w:tcPr>
            <w:tcW w:w="466" w:type="pct"/>
            <w:vMerge w:val="restart"/>
            <w:tcBorders>
              <w:top w:val="single" w:color="auto" w:sz="4" w:space="0"/>
              <w:left w:val="single" w:color="auto" w:sz="4" w:space="0"/>
              <w:right w:val="single" w:color="auto" w:sz="4" w:space="0"/>
            </w:tcBorders>
            <w:noWrap w:val="0"/>
            <w:vAlign w:val="center"/>
          </w:tcPr>
          <w:p w14:paraId="62CAC260">
            <w:pPr>
              <w:wordWrap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3</w:t>
            </w:r>
          </w:p>
          <w:p w14:paraId="171076F3">
            <w:pPr>
              <w:wordWrap w:val="0"/>
              <w:jc w:val="center"/>
              <w:rPr>
                <w:rFonts w:hint="eastAsia" w:asciiTheme="minorEastAsia" w:hAnsiTheme="minorEastAsia" w:eastAsiaTheme="minorEastAsia" w:cstheme="minorEastAsia"/>
                <w:sz w:val="21"/>
                <w:szCs w:val="21"/>
                <w:highlight w:val="none"/>
              </w:rPr>
            </w:pPr>
          </w:p>
        </w:tc>
        <w:tc>
          <w:tcPr>
            <w:tcW w:w="814" w:type="pct"/>
            <w:vMerge w:val="restart"/>
            <w:tcBorders>
              <w:top w:val="single" w:color="auto" w:sz="4" w:space="0"/>
              <w:left w:val="single" w:color="auto" w:sz="4" w:space="0"/>
              <w:right w:val="single" w:color="auto" w:sz="4" w:space="0"/>
            </w:tcBorders>
            <w:noWrap w:val="0"/>
            <w:vAlign w:val="center"/>
          </w:tcPr>
          <w:p w14:paraId="7218B581">
            <w:pPr>
              <w:wordWrap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卫生环境</w:t>
            </w:r>
            <w:r>
              <w:rPr>
                <w:rFonts w:hint="eastAsia" w:asciiTheme="minorEastAsia" w:hAnsiTheme="minorEastAsia" w:eastAsiaTheme="minorEastAsia" w:cstheme="minorEastAsia"/>
                <w:sz w:val="21"/>
                <w:szCs w:val="21"/>
                <w:highlight w:val="none"/>
              </w:rPr>
              <w:br w:type="textWrapping"/>
            </w:r>
            <w:r>
              <w:rPr>
                <w:rFonts w:hint="eastAsia" w:asciiTheme="minorEastAsia" w:hAnsiTheme="minorEastAsia" w:eastAsiaTheme="minorEastAsia" w:cstheme="minorEastAsia"/>
                <w:sz w:val="21"/>
                <w:szCs w:val="21"/>
                <w:highlight w:val="none"/>
              </w:rPr>
              <w:t>（20分）</w:t>
            </w:r>
          </w:p>
          <w:p w14:paraId="60FA967E">
            <w:pPr>
              <w:wordWrap w:val="0"/>
              <w:jc w:val="center"/>
              <w:rPr>
                <w:rFonts w:hint="eastAsia" w:asciiTheme="minorEastAsia" w:hAnsiTheme="minorEastAsia" w:eastAsiaTheme="minorEastAsia" w:cstheme="minorEastAsia"/>
                <w:sz w:val="21"/>
                <w:szCs w:val="21"/>
                <w:highlight w:val="none"/>
              </w:rPr>
            </w:pPr>
          </w:p>
        </w:tc>
        <w:tc>
          <w:tcPr>
            <w:tcW w:w="2009" w:type="pct"/>
            <w:tcBorders>
              <w:top w:val="nil"/>
              <w:left w:val="nil"/>
              <w:bottom w:val="single" w:color="auto" w:sz="4" w:space="0"/>
              <w:right w:val="single" w:color="auto" w:sz="4" w:space="0"/>
            </w:tcBorders>
            <w:noWrap w:val="0"/>
            <w:vAlign w:val="center"/>
          </w:tcPr>
          <w:p w14:paraId="40EB0A35">
            <w:pPr>
              <w:wordWrap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厨具清洁卫生情况</w:t>
            </w:r>
          </w:p>
        </w:tc>
        <w:tc>
          <w:tcPr>
            <w:tcW w:w="775" w:type="pct"/>
            <w:tcBorders>
              <w:top w:val="nil"/>
              <w:left w:val="nil"/>
              <w:bottom w:val="single" w:color="auto" w:sz="4" w:space="0"/>
              <w:right w:val="single" w:color="auto" w:sz="4" w:space="0"/>
            </w:tcBorders>
            <w:noWrap w:val="0"/>
            <w:vAlign w:val="center"/>
          </w:tcPr>
          <w:p w14:paraId="6C8E7D0B">
            <w:pPr>
              <w:wordWrap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4</w:t>
            </w:r>
          </w:p>
        </w:tc>
        <w:tc>
          <w:tcPr>
            <w:tcW w:w="466" w:type="pct"/>
            <w:tcBorders>
              <w:top w:val="nil"/>
              <w:left w:val="nil"/>
              <w:bottom w:val="single" w:color="auto" w:sz="4" w:space="0"/>
              <w:right w:val="single" w:color="auto" w:sz="4" w:space="0"/>
            </w:tcBorders>
            <w:noWrap w:val="0"/>
            <w:vAlign w:val="center"/>
          </w:tcPr>
          <w:p w14:paraId="41DAA99D">
            <w:pPr>
              <w:wordWrap w:val="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　</w:t>
            </w:r>
          </w:p>
        </w:tc>
        <w:tc>
          <w:tcPr>
            <w:tcW w:w="468" w:type="pct"/>
            <w:tcBorders>
              <w:top w:val="nil"/>
              <w:left w:val="nil"/>
              <w:bottom w:val="single" w:color="auto" w:sz="4" w:space="0"/>
              <w:right w:val="single" w:color="auto" w:sz="4" w:space="0"/>
            </w:tcBorders>
            <w:noWrap w:val="0"/>
            <w:vAlign w:val="center"/>
          </w:tcPr>
          <w:p w14:paraId="3D663898">
            <w:pPr>
              <w:wordWrap w:val="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　</w:t>
            </w:r>
          </w:p>
        </w:tc>
      </w:tr>
      <w:tr w14:paraId="666E712C">
        <w:tblPrEx>
          <w:tblCellMar>
            <w:top w:w="0" w:type="dxa"/>
            <w:left w:w="108" w:type="dxa"/>
            <w:bottom w:w="0" w:type="dxa"/>
            <w:right w:w="108" w:type="dxa"/>
          </w:tblCellMar>
        </w:tblPrEx>
        <w:trPr>
          <w:trHeight w:val="445" w:hRule="atLeast"/>
          <w:jc w:val="center"/>
        </w:trPr>
        <w:tc>
          <w:tcPr>
            <w:tcW w:w="466" w:type="pct"/>
            <w:vMerge w:val="continue"/>
            <w:tcBorders>
              <w:left w:val="single" w:color="auto" w:sz="4" w:space="0"/>
              <w:right w:val="single" w:color="auto" w:sz="4" w:space="0"/>
            </w:tcBorders>
            <w:noWrap w:val="0"/>
            <w:vAlign w:val="center"/>
          </w:tcPr>
          <w:p w14:paraId="23E7E749">
            <w:pPr>
              <w:wordWrap w:val="0"/>
              <w:jc w:val="center"/>
              <w:rPr>
                <w:rFonts w:hint="eastAsia" w:asciiTheme="minorEastAsia" w:hAnsiTheme="minorEastAsia" w:eastAsiaTheme="minorEastAsia" w:cstheme="minorEastAsia"/>
                <w:sz w:val="21"/>
                <w:szCs w:val="21"/>
                <w:highlight w:val="none"/>
              </w:rPr>
            </w:pPr>
          </w:p>
        </w:tc>
        <w:tc>
          <w:tcPr>
            <w:tcW w:w="814" w:type="pct"/>
            <w:vMerge w:val="continue"/>
            <w:tcBorders>
              <w:left w:val="single" w:color="auto" w:sz="4" w:space="0"/>
              <w:right w:val="single" w:color="auto" w:sz="4" w:space="0"/>
            </w:tcBorders>
            <w:noWrap w:val="0"/>
            <w:vAlign w:val="center"/>
          </w:tcPr>
          <w:p w14:paraId="69D98306">
            <w:pPr>
              <w:wordWrap w:val="0"/>
              <w:jc w:val="center"/>
              <w:rPr>
                <w:rFonts w:hint="eastAsia" w:asciiTheme="minorEastAsia" w:hAnsiTheme="minorEastAsia" w:eastAsiaTheme="minorEastAsia" w:cstheme="minorEastAsia"/>
                <w:sz w:val="21"/>
                <w:szCs w:val="21"/>
                <w:highlight w:val="none"/>
              </w:rPr>
            </w:pPr>
          </w:p>
        </w:tc>
        <w:tc>
          <w:tcPr>
            <w:tcW w:w="2009" w:type="pct"/>
            <w:tcBorders>
              <w:top w:val="nil"/>
              <w:left w:val="nil"/>
              <w:bottom w:val="single" w:color="auto" w:sz="4" w:space="0"/>
              <w:right w:val="single" w:color="auto" w:sz="4" w:space="0"/>
            </w:tcBorders>
            <w:noWrap w:val="0"/>
            <w:vAlign w:val="center"/>
          </w:tcPr>
          <w:p w14:paraId="0AD6ED0D">
            <w:pPr>
              <w:wordWrap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厨房操作间卫生情况</w:t>
            </w:r>
          </w:p>
        </w:tc>
        <w:tc>
          <w:tcPr>
            <w:tcW w:w="775" w:type="pct"/>
            <w:tcBorders>
              <w:top w:val="nil"/>
              <w:left w:val="nil"/>
              <w:bottom w:val="single" w:color="auto" w:sz="4" w:space="0"/>
              <w:right w:val="single" w:color="auto" w:sz="4" w:space="0"/>
            </w:tcBorders>
            <w:noWrap w:val="0"/>
            <w:vAlign w:val="center"/>
          </w:tcPr>
          <w:p w14:paraId="41A2ECCF">
            <w:pPr>
              <w:wordWrap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4</w:t>
            </w:r>
          </w:p>
        </w:tc>
        <w:tc>
          <w:tcPr>
            <w:tcW w:w="466" w:type="pct"/>
            <w:tcBorders>
              <w:top w:val="nil"/>
              <w:left w:val="nil"/>
              <w:bottom w:val="single" w:color="auto" w:sz="4" w:space="0"/>
              <w:right w:val="single" w:color="auto" w:sz="4" w:space="0"/>
            </w:tcBorders>
            <w:noWrap w:val="0"/>
            <w:vAlign w:val="center"/>
          </w:tcPr>
          <w:p w14:paraId="6386E68C">
            <w:pPr>
              <w:wordWrap w:val="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　</w:t>
            </w:r>
          </w:p>
        </w:tc>
        <w:tc>
          <w:tcPr>
            <w:tcW w:w="468" w:type="pct"/>
            <w:tcBorders>
              <w:top w:val="nil"/>
              <w:left w:val="nil"/>
              <w:bottom w:val="single" w:color="auto" w:sz="4" w:space="0"/>
              <w:right w:val="single" w:color="auto" w:sz="4" w:space="0"/>
            </w:tcBorders>
            <w:noWrap w:val="0"/>
            <w:vAlign w:val="center"/>
          </w:tcPr>
          <w:p w14:paraId="4F074F15">
            <w:pPr>
              <w:wordWrap w:val="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　</w:t>
            </w:r>
          </w:p>
        </w:tc>
      </w:tr>
      <w:tr w14:paraId="4637D49F">
        <w:tblPrEx>
          <w:tblCellMar>
            <w:top w:w="0" w:type="dxa"/>
            <w:left w:w="108" w:type="dxa"/>
            <w:bottom w:w="0" w:type="dxa"/>
            <w:right w:w="108" w:type="dxa"/>
          </w:tblCellMar>
        </w:tblPrEx>
        <w:trPr>
          <w:trHeight w:val="445" w:hRule="atLeast"/>
          <w:jc w:val="center"/>
        </w:trPr>
        <w:tc>
          <w:tcPr>
            <w:tcW w:w="466" w:type="pct"/>
            <w:vMerge w:val="continue"/>
            <w:tcBorders>
              <w:left w:val="single" w:color="auto" w:sz="4" w:space="0"/>
              <w:right w:val="single" w:color="auto" w:sz="4" w:space="0"/>
            </w:tcBorders>
            <w:noWrap w:val="0"/>
            <w:vAlign w:val="center"/>
          </w:tcPr>
          <w:p w14:paraId="55803F5B">
            <w:pPr>
              <w:wordWrap w:val="0"/>
              <w:jc w:val="center"/>
              <w:rPr>
                <w:rFonts w:hint="eastAsia" w:asciiTheme="minorEastAsia" w:hAnsiTheme="minorEastAsia" w:eastAsiaTheme="minorEastAsia" w:cstheme="minorEastAsia"/>
                <w:sz w:val="21"/>
                <w:szCs w:val="21"/>
                <w:highlight w:val="none"/>
              </w:rPr>
            </w:pPr>
          </w:p>
        </w:tc>
        <w:tc>
          <w:tcPr>
            <w:tcW w:w="814" w:type="pct"/>
            <w:vMerge w:val="continue"/>
            <w:tcBorders>
              <w:left w:val="single" w:color="auto" w:sz="4" w:space="0"/>
              <w:right w:val="single" w:color="auto" w:sz="4" w:space="0"/>
            </w:tcBorders>
            <w:noWrap w:val="0"/>
            <w:vAlign w:val="center"/>
          </w:tcPr>
          <w:p w14:paraId="5836609D">
            <w:pPr>
              <w:wordWrap w:val="0"/>
              <w:jc w:val="center"/>
              <w:rPr>
                <w:rFonts w:hint="eastAsia" w:asciiTheme="minorEastAsia" w:hAnsiTheme="minorEastAsia" w:eastAsiaTheme="minorEastAsia" w:cstheme="minorEastAsia"/>
                <w:sz w:val="21"/>
                <w:szCs w:val="21"/>
                <w:highlight w:val="none"/>
              </w:rPr>
            </w:pPr>
          </w:p>
        </w:tc>
        <w:tc>
          <w:tcPr>
            <w:tcW w:w="2009" w:type="pct"/>
            <w:tcBorders>
              <w:top w:val="nil"/>
              <w:left w:val="nil"/>
              <w:bottom w:val="single" w:color="auto" w:sz="4" w:space="0"/>
              <w:right w:val="single" w:color="auto" w:sz="4" w:space="0"/>
            </w:tcBorders>
            <w:noWrap w:val="0"/>
            <w:vAlign w:val="center"/>
          </w:tcPr>
          <w:p w14:paraId="3E209623">
            <w:pPr>
              <w:wordWrap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餐厨垃圾处理情况</w:t>
            </w:r>
          </w:p>
        </w:tc>
        <w:tc>
          <w:tcPr>
            <w:tcW w:w="775" w:type="pct"/>
            <w:tcBorders>
              <w:top w:val="nil"/>
              <w:left w:val="nil"/>
              <w:bottom w:val="single" w:color="auto" w:sz="4" w:space="0"/>
              <w:right w:val="single" w:color="auto" w:sz="4" w:space="0"/>
            </w:tcBorders>
            <w:noWrap w:val="0"/>
            <w:vAlign w:val="center"/>
          </w:tcPr>
          <w:p w14:paraId="0722D9C1">
            <w:pPr>
              <w:wordWrap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4</w:t>
            </w:r>
          </w:p>
        </w:tc>
        <w:tc>
          <w:tcPr>
            <w:tcW w:w="466" w:type="pct"/>
            <w:tcBorders>
              <w:top w:val="nil"/>
              <w:left w:val="nil"/>
              <w:bottom w:val="single" w:color="auto" w:sz="4" w:space="0"/>
              <w:right w:val="single" w:color="auto" w:sz="4" w:space="0"/>
            </w:tcBorders>
            <w:noWrap w:val="0"/>
            <w:vAlign w:val="center"/>
          </w:tcPr>
          <w:p w14:paraId="3DCFCF51">
            <w:pPr>
              <w:wordWrap w:val="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　</w:t>
            </w:r>
          </w:p>
        </w:tc>
        <w:tc>
          <w:tcPr>
            <w:tcW w:w="468" w:type="pct"/>
            <w:tcBorders>
              <w:top w:val="nil"/>
              <w:left w:val="nil"/>
              <w:bottom w:val="single" w:color="auto" w:sz="4" w:space="0"/>
              <w:right w:val="single" w:color="auto" w:sz="4" w:space="0"/>
            </w:tcBorders>
            <w:noWrap w:val="0"/>
            <w:vAlign w:val="center"/>
          </w:tcPr>
          <w:p w14:paraId="1FDC6987">
            <w:pPr>
              <w:wordWrap w:val="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　</w:t>
            </w:r>
          </w:p>
        </w:tc>
      </w:tr>
      <w:tr w14:paraId="65121ACC">
        <w:tblPrEx>
          <w:tblCellMar>
            <w:top w:w="0" w:type="dxa"/>
            <w:left w:w="108" w:type="dxa"/>
            <w:bottom w:w="0" w:type="dxa"/>
            <w:right w:w="108" w:type="dxa"/>
          </w:tblCellMar>
        </w:tblPrEx>
        <w:trPr>
          <w:trHeight w:val="445" w:hRule="atLeast"/>
          <w:jc w:val="center"/>
        </w:trPr>
        <w:tc>
          <w:tcPr>
            <w:tcW w:w="466" w:type="pct"/>
            <w:vMerge w:val="continue"/>
            <w:tcBorders>
              <w:left w:val="single" w:color="auto" w:sz="4" w:space="0"/>
              <w:right w:val="single" w:color="auto" w:sz="4" w:space="0"/>
            </w:tcBorders>
            <w:noWrap w:val="0"/>
            <w:vAlign w:val="center"/>
          </w:tcPr>
          <w:p w14:paraId="74F38DA5">
            <w:pPr>
              <w:wordWrap w:val="0"/>
              <w:jc w:val="center"/>
              <w:rPr>
                <w:rFonts w:hint="eastAsia" w:asciiTheme="minorEastAsia" w:hAnsiTheme="minorEastAsia" w:eastAsiaTheme="minorEastAsia" w:cstheme="minorEastAsia"/>
                <w:sz w:val="21"/>
                <w:szCs w:val="21"/>
                <w:highlight w:val="none"/>
              </w:rPr>
            </w:pPr>
          </w:p>
        </w:tc>
        <w:tc>
          <w:tcPr>
            <w:tcW w:w="814" w:type="pct"/>
            <w:vMerge w:val="continue"/>
            <w:tcBorders>
              <w:left w:val="single" w:color="auto" w:sz="4" w:space="0"/>
              <w:right w:val="single" w:color="auto" w:sz="4" w:space="0"/>
            </w:tcBorders>
            <w:noWrap w:val="0"/>
            <w:vAlign w:val="center"/>
          </w:tcPr>
          <w:p w14:paraId="58255A96">
            <w:pPr>
              <w:wordWrap w:val="0"/>
              <w:jc w:val="center"/>
              <w:rPr>
                <w:rFonts w:hint="eastAsia" w:asciiTheme="minorEastAsia" w:hAnsiTheme="minorEastAsia" w:eastAsiaTheme="minorEastAsia" w:cstheme="minorEastAsia"/>
                <w:sz w:val="21"/>
                <w:szCs w:val="21"/>
                <w:highlight w:val="none"/>
              </w:rPr>
            </w:pPr>
          </w:p>
        </w:tc>
        <w:tc>
          <w:tcPr>
            <w:tcW w:w="2009" w:type="pct"/>
            <w:tcBorders>
              <w:top w:val="nil"/>
              <w:left w:val="nil"/>
              <w:bottom w:val="single" w:color="auto" w:sz="4" w:space="0"/>
              <w:right w:val="single" w:color="auto" w:sz="4" w:space="0"/>
            </w:tcBorders>
            <w:noWrap w:val="0"/>
            <w:vAlign w:val="center"/>
          </w:tcPr>
          <w:p w14:paraId="06BB5934">
            <w:pPr>
              <w:wordWrap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就餐区卫生情况</w:t>
            </w:r>
          </w:p>
        </w:tc>
        <w:tc>
          <w:tcPr>
            <w:tcW w:w="775" w:type="pct"/>
            <w:tcBorders>
              <w:top w:val="nil"/>
              <w:left w:val="nil"/>
              <w:bottom w:val="single" w:color="auto" w:sz="4" w:space="0"/>
              <w:right w:val="single" w:color="auto" w:sz="4" w:space="0"/>
            </w:tcBorders>
            <w:noWrap w:val="0"/>
            <w:vAlign w:val="center"/>
          </w:tcPr>
          <w:p w14:paraId="5F64AB4F">
            <w:pPr>
              <w:wordWrap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4</w:t>
            </w:r>
          </w:p>
        </w:tc>
        <w:tc>
          <w:tcPr>
            <w:tcW w:w="466" w:type="pct"/>
            <w:tcBorders>
              <w:top w:val="nil"/>
              <w:left w:val="nil"/>
              <w:bottom w:val="single" w:color="auto" w:sz="4" w:space="0"/>
              <w:right w:val="single" w:color="auto" w:sz="4" w:space="0"/>
            </w:tcBorders>
            <w:noWrap w:val="0"/>
            <w:vAlign w:val="center"/>
          </w:tcPr>
          <w:p w14:paraId="46C79067">
            <w:pPr>
              <w:wordWrap w:val="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　</w:t>
            </w:r>
          </w:p>
        </w:tc>
        <w:tc>
          <w:tcPr>
            <w:tcW w:w="468" w:type="pct"/>
            <w:tcBorders>
              <w:top w:val="nil"/>
              <w:left w:val="nil"/>
              <w:bottom w:val="single" w:color="auto" w:sz="4" w:space="0"/>
              <w:right w:val="single" w:color="auto" w:sz="4" w:space="0"/>
            </w:tcBorders>
            <w:noWrap w:val="0"/>
            <w:vAlign w:val="center"/>
          </w:tcPr>
          <w:p w14:paraId="68B25160">
            <w:pPr>
              <w:wordWrap w:val="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　</w:t>
            </w:r>
          </w:p>
        </w:tc>
      </w:tr>
      <w:tr w14:paraId="7DB03B8A">
        <w:tblPrEx>
          <w:tblCellMar>
            <w:top w:w="0" w:type="dxa"/>
            <w:left w:w="108" w:type="dxa"/>
            <w:bottom w:w="0" w:type="dxa"/>
            <w:right w:w="108" w:type="dxa"/>
          </w:tblCellMar>
        </w:tblPrEx>
        <w:trPr>
          <w:trHeight w:val="445" w:hRule="atLeast"/>
          <w:jc w:val="center"/>
        </w:trPr>
        <w:tc>
          <w:tcPr>
            <w:tcW w:w="466" w:type="pct"/>
            <w:vMerge w:val="continue"/>
            <w:tcBorders>
              <w:left w:val="single" w:color="auto" w:sz="4" w:space="0"/>
              <w:bottom w:val="single" w:color="auto" w:sz="4" w:space="0"/>
              <w:right w:val="single" w:color="auto" w:sz="4" w:space="0"/>
            </w:tcBorders>
            <w:noWrap w:val="0"/>
            <w:vAlign w:val="center"/>
          </w:tcPr>
          <w:p w14:paraId="66DF1D9B">
            <w:pPr>
              <w:wordWrap w:val="0"/>
              <w:jc w:val="center"/>
              <w:rPr>
                <w:rFonts w:hint="eastAsia" w:asciiTheme="minorEastAsia" w:hAnsiTheme="minorEastAsia" w:eastAsiaTheme="minorEastAsia" w:cstheme="minorEastAsia"/>
                <w:sz w:val="21"/>
                <w:szCs w:val="21"/>
                <w:highlight w:val="none"/>
              </w:rPr>
            </w:pPr>
          </w:p>
        </w:tc>
        <w:tc>
          <w:tcPr>
            <w:tcW w:w="814" w:type="pct"/>
            <w:vMerge w:val="continue"/>
            <w:tcBorders>
              <w:left w:val="single" w:color="auto" w:sz="4" w:space="0"/>
              <w:bottom w:val="single" w:color="auto" w:sz="4" w:space="0"/>
              <w:right w:val="single" w:color="auto" w:sz="4" w:space="0"/>
            </w:tcBorders>
            <w:noWrap w:val="0"/>
            <w:vAlign w:val="center"/>
          </w:tcPr>
          <w:p w14:paraId="64E2D73A">
            <w:pPr>
              <w:wordWrap w:val="0"/>
              <w:jc w:val="center"/>
              <w:rPr>
                <w:rFonts w:hint="eastAsia" w:asciiTheme="minorEastAsia" w:hAnsiTheme="minorEastAsia" w:eastAsiaTheme="minorEastAsia" w:cstheme="minorEastAsia"/>
                <w:sz w:val="21"/>
                <w:szCs w:val="21"/>
                <w:highlight w:val="none"/>
              </w:rPr>
            </w:pPr>
          </w:p>
        </w:tc>
        <w:tc>
          <w:tcPr>
            <w:tcW w:w="2009" w:type="pct"/>
            <w:tcBorders>
              <w:top w:val="nil"/>
              <w:left w:val="nil"/>
              <w:bottom w:val="single" w:color="auto" w:sz="4" w:space="0"/>
              <w:right w:val="single" w:color="auto" w:sz="4" w:space="0"/>
            </w:tcBorders>
            <w:noWrap w:val="0"/>
            <w:vAlign w:val="center"/>
          </w:tcPr>
          <w:p w14:paraId="5F139BA2">
            <w:pPr>
              <w:wordWrap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餐具清洁及摆放情况</w:t>
            </w:r>
          </w:p>
        </w:tc>
        <w:tc>
          <w:tcPr>
            <w:tcW w:w="775" w:type="pct"/>
            <w:tcBorders>
              <w:top w:val="nil"/>
              <w:left w:val="nil"/>
              <w:bottom w:val="single" w:color="auto" w:sz="4" w:space="0"/>
              <w:right w:val="single" w:color="auto" w:sz="4" w:space="0"/>
            </w:tcBorders>
            <w:noWrap w:val="0"/>
            <w:vAlign w:val="center"/>
          </w:tcPr>
          <w:p w14:paraId="248B07B3">
            <w:pPr>
              <w:wordWrap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4</w:t>
            </w:r>
          </w:p>
        </w:tc>
        <w:tc>
          <w:tcPr>
            <w:tcW w:w="466" w:type="pct"/>
            <w:tcBorders>
              <w:top w:val="nil"/>
              <w:left w:val="nil"/>
              <w:bottom w:val="single" w:color="auto" w:sz="4" w:space="0"/>
              <w:right w:val="single" w:color="auto" w:sz="4" w:space="0"/>
            </w:tcBorders>
            <w:noWrap w:val="0"/>
            <w:vAlign w:val="center"/>
          </w:tcPr>
          <w:p w14:paraId="5DD5E8B8">
            <w:pPr>
              <w:wordWrap w:val="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　</w:t>
            </w:r>
          </w:p>
        </w:tc>
        <w:tc>
          <w:tcPr>
            <w:tcW w:w="468" w:type="pct"/>
            <w:tcBorders>
              <w:top w:val="nil"/>
              <w:left w:val="nil"/>
              <w:bottom w:val="single" w:color="auto" w:sz="4" w:space="0"/>
              <w:right w:val="single" w:color="auto" w:sz="4" w:space="0"/>
            </w:tcBorders>
            <w:noWrap w:val="0"/>
            <w:vAlign w:val="center"/>
          </w:tcPr>
          <w:p w14:paraId="1966EE90">
            <w:pPr>
              <w:wordWrap w:val="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　</w:t>
            </w:r>
          </w:p>
        </w:tc>
      </w:tr>
      <w:tr w14:paraId="3E7E5BA9">
        <w:tblPrEx>
          <w:tblCellMar>
            <w:top w:w="0" w:type="dxa"/>
            <w:left w:w="108" w:type="dxa"/>
            <w:bottom w:w="0" w:type="dxa"/>
            <w:right w:w="108" w:type="dxa"/>
          </w:tblCellMar>
        </w:tblPrEx>
        <w:trPr>
          <w:trHeight w:val="445" w:hRule="atLeast"/>
          <w:jc w:val="center"/>
        </w:trPr>
        <w:tc>
          <w:tcPr>
            <w:tcW w:w="466" w:type="pct"/>
            <w:vMerge w:val="restart"/>
            <w:tcBorders>
              <w:top w:val="single" w:color="auto" w:sz="4" w:space="0"/>
              <w:left w:val="single" w:color="auto" w:sz="4" w:space="0"/>
              <w:bottom w:val="single" w:color="000000" w:sz="4" w:space="0"/>
              <w:right w:val="single" w:color="auto" w:sz="4" w:space="0"/>
            </w:tcBorders>
            <w:noWrap w:val="0"/>
            <w:vAlign w:val="center"/>
          </w:tcPr>
          <w:p w14:paraId="509B9388">
            <w:pPr>
              <w:wordWrap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4</w:t>
            </w:r>
          </w:p>
        </w:tc>
        <w:tc>
          <w:tcPr>
            <w:tcW w:w="814" w:type="pct"/>
            <w:vMerge w:val="restart"/>
            <w:tcBorders>
              <w:top w:val="single" w:color="auto" w:sz="4" w:space="0"/>
              <w:left w:val="single" w:color="auto" w:sz="4" w:space="0"/>
              <w:bottom w:val="single" w:color="000000" w:sz="4" w:space="0"/>
              <w:right w:val="single" w:color="auto" w:sz="4" w:space="0"/>
            </w:tcBorders>
            <w:noWrap w:val="0"/>
            <w:vAlign w:val="center"/>
          </w:tcPr>
          <w:p w14:paraId="3D5D2E9D">
            <w:pPr>
              <w:wordWrap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出品要求</w:t>
            </w:r>
            <w:r>
              <w:rPr>
                <w:rFonts w:hint="eastAsia" w:asciiTheme="minorEastAsia" w:hAnsiTheme="minorEastAsia" w:eastAsiaTheme="minorEastAsia" w:cstheme="minorEastAsia"/>
                <w:sz w:val="21"/>
                <w:szCs w:val="21"/>
                <w:highlight w:val="none"/>
              </w:rPr>
              <w:br w:type="textWrapping"/>
            </w:r>
            <w:r>
              <w:rPr>
                <w:rFonts w:hint="eastAsia" w:asciiTheme="minorEastAsia" w:hAnsiTheme="minorEastAsia" w:eastAsiaTheme="minorEastAsia" w:cstheme="minorEastAsia"/>
                <w:sz w:val="21"/>
                <w:szCs w:val="21"/>
                <w:highlight w:val="none"/>
              </w:rPr>
              <w:t>（20分）</w:t>
            </w:r>
          </w:p>
        </w:tc>
        <w:tc>
          <w:tcPr>
            <w:tcW w:w="2009" w:type="pct"/>
            <w:tcBorders>
              <w:top w:val="nil"/>
              <w:left w:val="nil"/>
              <w:bottom w:val="single" w:color="auto" w:sz="4" w:space="0"/>
              <w:right w:val="single" w:color="auto" w:sz="4" w:space="0"/>
            </w:tcBorders>
            <w:noWrap w:val="0"/>
            <w:vAlign w:val="center"/>
          </w:tcPr>
          <w:p w14:paraId="625FD71D">
            <w:pPr>
              <w:wordWrap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菜谱制定情况</w:t>
            </w:r>
          </w:p>
        </w:tc>
        <w:tc>
          <w:tcPr>
            <w:tcW w:w="775" w:type="pct"/>
            <w:tcBorders>
              <w:top w:val="nil"/>
              <w:left w:val="nil"/>
              <w:bottom w:val="single" w:color="auto" w:sz="4" w:space="0"/>
              <w:right w:val="single" w:color="auto" w:sz="4" w:space="0"/>
            </w:tcBorders>
            <w:noWrap w:val="0"/>
            <w:vAlign w:val="center"/>
          </w:tcPr>
          <w:p w14:paraId="35EE7C62">
            <w:pPr>
              <w:wordWrap w:val="0"/>
              <w:jc w:val="center"/>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5</w:t>
            </w:r>
          </w:p>
        </w:tc>
        <w:tc>
          <w:tcPr>
            <w:tcW w:w="466" w:type="pct"/>
            <w:tcBorders>
              <w:top w:val="nil"/>
              <w:left w:val="nil"/>
              <w:bottom w:val="single" w:color="auto" w:sz="4" w:space="0"/>
              <w:right w:val="single" w:color="auto" w:sz="4" w:space="0"/>
            </w:tcBorders>
            <w:noWrap w:val="0"/>
            <w:vAlign w:val="center"/>
          </w:tcPr>
          <w:p w14:paraId="0D1B5E14">
            <w:pPr>
              <w:wordWrap w:val="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　</w:t>
            </w:r>
          </w:p>
        </w:tc>
        <w:tc>
          <w:tcPr>
            <w:tcW w:w="468" w:type="pct"/>
            <w:tcBorders>
              <w:top w:val="nil"/>
              <w:left w:val="nil"/>
              <w:bottom w:val="single" w:color="auto" w:sz="4" w:space="0"/>
              <w:right w:val="single" w:color="auto" w:sz="4" w:space="0"/>
            </w:tcBorders>
            <w:noWrap w:val="0"/>
            <w:vAlign w:val="center"/>
          </w:tcPr>
          <w:p w14:paraId="01CFFB7E">
            <w:pPr>
              <w:wordWrap w:val="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　</w:t>
            </w:r>
          </w:p>
        </w:tc>
      </w:tr>
      <w:tr w14:paraId="1D7FED03">
        <w:tblPrEx>
          <w:tblCellMar>
            <w:top w:w="0" w:type="dxa"/>
            <w:left w:w="108" w:type="dxa"/>
            <w:bottom w:w="0" w:type="dxa"/>
            <w:right w:w="108" w:type="dxa"/>
          </w:tblCellMar>
        </w:tblPrEx>
        <w:trPr>
          <w:trHeight w:val="445" w:hRule="atLeast"/>
          <w:jc w:val="center"/>
        </w:trPr>
        <w:tc>
          <w:tcPr>
            <w:tcW w:w="466" w:type="pct"/>
            <w:vMerge w:val="continue"/>
            <w:tcBorders>
              <w:top w:val="nil"/>
              <w:left w:val="single" w:color="auto" w:sz="4" w:space="0"/>
              <w:bottom w:val="single" w:color="000000" w:sz="4" w:space="0"/>
              <w:right w:val="single" w:color="auto" w:sz="4" w:space="0"/>
            </w:tcBorders>
            <w:noWrap w:val="0"/>
            <w:vAlign w:val="center"/>
          </w:tcPr>
          <w:p w14:paraId="2F84BCD7">
            <w:pPr>
              <w:wordWrap w:val="0"/>
              <w:jc w:val="center"/>
              <w:rPr>
                <w:rFonts w:hint="eastAsia" w:asciiTheme="minorEastAsia" w:hAnsiTheme="minorEastAsia" w:eastAsiaTheme="minorEastAsia" w:cstheme="minorEastAsia"/>
                <w:sz w:val="21"/>
                <w:szCs w:val="21"/>
                <w:highlight w:val="none"/>
              </w:rPr>
            </w:pPr>
          </w:p>
        </w:tc>
        <w:tc>
          <w:tcPr>
            <w:tcW w:w="814" w:type="pct"/>
            <w:vMerge w:val="continue"/>
            <w:tcBorders>
              <w:top w:val="nil"/>
              <w:left w:val="single" w:color="auto" w:sz="4" w:space="0"/>
              <w:bottom w:val="single" w:color="000000" w:sz="4" w:space="0"/>
              <w:right w:val="single" w:color="auto" w:sz="4" w:space="0"/>
            </w:tcBorders>
            <w:noWrap w:val="0"/>
            <w:vAlign w:val="center"/>
          </w:tcPr>
          <w:p w14:paraId="49E0ADFF">
            <w:pPr>
              <w:wordWrap w:val="0"/>
              <w:jc w:val="center"/>
              <w:rPr>
                <w:rFonts w:hint="eastAsia" w:asciiTheme="minorEastAsia" w:hAnsiTheme="minorEastAsia" w:eastAsiaTheme="minorEastAsia" w:cstheme="minorEastAsia"/>
                <w:sz w:val="21"/>
                <w:szCs w:val="21"/>
                <w:highlight w:val="none"/>
              </w:rPr>
            </w:pPr>
          </w:p>
        </w:tc>
        <w:tc>
          <w:tcPr>
            <w:tcW w:w="2009" w:type="pct"/>
            <w:tcBorders>
              <w:top w:val="nil"/>
              <w:left w:val="nil"/>
              <w:bottom w:val="single" w:color="auto" w:sz="4" w:space="0"/>
              <w:right w:val="single" w:color="auto" w:sz="4" w:space="0"/>
            </w:tcBorders>
            <w:noWrap w:val="0"/>
            <w:vAlign w:val="center"/>
          </w:tcPr>
          <w:p w14:paraId="2CD7827E">
            <w:pPr>
              <w:wordWrap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菜式丰富性</w:t>
            </w:r>
          </w:p>
        </w:tc>
        <w:tc>
          <w:tcPr>
            <w:tcW w:w="775" w:type="pct"/>
            <w:tcBorders>
              <w:top w:val="nil"/>
              <w:left w:val="nil"/>
              <w:bottom w:val="single" w:color="auto" w:sz="4" w:space="0"/>
              <w:right w:val="single" w:color="auto" w:sz="4" w:space="0"/>
            </w:tcBorders>
            <w:noWrap w:val="0"/>
            <w:vAlign w:val="center"/>
          </w:tcPr>
          <w:p w14:paraId="3EBC5FA0">
            <w:pPr>
              <w:wordWrap w:val="0"/>
              <w:jc w:val="center"/>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5</w:t>
            </w:r>
          </w:p>
        </w:tc>
        <w:tc>
          <w:tcPr>
            <w:tcW w:w="466" w:type="pct"/>
            <w:tcBorders>
              <w:top w:val="nil"/>
              <w:left w:val="nil"/>
              <w:bottom w:val="single" w:color="auto" w:sz="4" w:space="0"/>
              <w:right w:val="single" w:color="auto" w:sz="4" w:space="0"/>
            </w:tcBorders>
            <w:noWrap w:val="0"/>
            <w:vAlign w:val="center"/>
          </w:tcPr>
          <w:p w14:paraId="50D76ED2">
            <w:pPr>
              <w:wordWrap w:val="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　</w:t>
            </w:r>
          </w:p>
        </w:tc>
        <w:tc>
          <w:tcPr>
            <w:tcW w:w="468" w:type="pct"/>
            <w:tcBorders>
              <w:top w:val="nil"/>
              <w:left w:val="nil"/>
              <w:bottom w:val="single" w:color="auto" w:sz="4" w:space="0"/>
              <w:right w:val="single" w:color="auto" w:sz="4" w:space="0"/>
            </w:tcBorders>
            <w:noWrap w:val="0"/>
            <w:vAlign w:val="center"/>
          </w:tcPr>
          <w:p w14:paraId="2A6C116B">
            <w:pPr>
              <w:wordWrap w:val="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　</w:t>
            </w:r>
          </w:p>
        </w:tc>
      </w:tr>
      <w:tr w14:paraId="18ABA7B5">
        <w:tblPrEx>
          <w:tblCellMar>
            <w:top w:w="0" w:type="dxa"/>
            <w:left w:w="108" w:type="dxa"/>
            <w:bottom w:w="0" w:type="dxa"/>
            <w:right w:w="108" w:type="dxa"/>
          </w:tblCellMar>
        </w:tblPrEx>
        <w:trPr>
          <w:trHeight w:val="445" w:hRule="atLeast"/>
          <w:jc w:val="center"/>
        </w:trPr>
        <w:tc>
          <w:tcPr>
            <w:tcW w:w="466" w:type="pct"/>
            <w:vMerge w:val="continue"/>
            <w:tcBorders>
              <w:top w:val="nil"/>
              <w:left w:val="single" w:color="auto" w:sz="4" w:space="0"/>
              <w:bottom w:val="single" w:color="000000" w:sz="4" w:space="0"/>
              <w:right w:val="single" w:color="auto" w:sz="4" w:space="0"/>
            </w:tcBorders>
            <w:noWrap w:val="0"/>
            <w:vAlign w:val="center"/>
          </w:tcPr>
          <w:p w14:paraId="41EFB3F1">
            <w:pPr>
              <w:wordWrap w:val="0"/>
              <w:jc w:val="center"/>
              <w:rPr>
                <w:rFonts w:hint="eastAsia" w:asciiTheme="minorEastAsia" w:hAnsiTheme="minorEastAsia" w:eastAsiaTheme="minorEastAsia" w:cstheme="minorEastAsia"/>
                <w:sz w:val="21"/>
                <w:szCs w:val="21"/>
                <w:highlight w:val="none"/>
              </w:rPr>
            </w:pPr>
          </w:p>
        </w:tc>
        <w:tc>
          <w:tcPr>
            <w:tcW w:w="814" w:type="pct"/>
            <w:vMerge w:val="continue"/>
            <w:tcBorders>
              <w:top w:val="nil"/>
              <w:left w:val="single" w:color="auto" w:sz="4" w:space="0"/>
              <w:bottom w:val="single" w:color="000000" w:sz="4" w:space="0"/>
              <w:right w:val="single" w:color="auto" w:sz="4" w:space="0"/>
            </w:tcBorders>
            <w:noWrap w:val="0"/>
            <w:vAlign w:val="center"/>
          </w:tcPr>
          <w:p w14:paraId="6ABBD9AD">
            <w:pPr>
              <w:wordWrap w:val="0"/>
              <w:jc w:val="center"/>
              <w:rPr>
                <w:rFonts w:hint="eastAsia" w:asciiTheme="minorEastAsia" w:hAnsiTheme="minorEastAsia" w:eastAsiaTheme="minorEastAsia" w:cstheme="minorEastAsia"/>
                <w:sz w:val="21"/>
                <w:szCs w:val="21"/>
                <w:highlight w:val="none"/>
              </w:rPr>
            </w:pPr>
          </w:p>
        </w:tc>
        <w:tc>
          <w:tcPr>
            <w:tcW w:w="2009" w:type="pct"/>
            <w:tcBorders>
              <w:top w:val="nil"/>
              <w:left w:val="nil"/>
              <w:bottom w:val="single" w:color="auto" w:sz="4" w:space="0"/>
              <w:right w:val="single" w:color="auto" w:sz="4" w:space="0"/>
            </w:tcBorders>
            <w:noWrap w:val="0"/>
            <w:vAlign w:val="center"/>
          </w:tcPr>
          <w:p w14:paraId="75D5CE39">
            <w:pPr>
              <w:wordWrap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菜式出品质量</w:t>
            </w:r>
          </w:p>
        </w:tc>
        <w:tc>
          <w:tcPr>
            <w:tcW w:w="775" w:type="pct"/>
            <w:tcBorders>
              <w:top w:val="nil"/>
              <w:left w:val="nil"/>
              <w:bottom w:val="single" w:color="auto" w:sz="4" w:space="0"/>
              <w:right w:val="single" w:color="auto" w:sz="4" w:space="0"/>
            </w:tcBorders>
            <w:noWrap w:val="0"/>
            <w:vAlign w:val="center"/>
          </w:tcPr>
          <w:p w14:paraId="03C06804">
            <w:pPr>
              <w:wordWrap w:val="0"/>
              <w:jc w:val="center"/>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5</w:t>
            </w:r>
          </w:p>
        </w:tc>
        <w:tc>
          <w:tcPr>
            <w:tcW w:w="466" w:type="pct"/>
            <w:tcBorders>
              <w:top w:val="nil"/>
              <w:left w:val="nil"/>
              <w:bottom w:val="single" w:color="auto" w:sz="4" w:space="0"/>
              <w:right w:val="single" w:color="auto" w:sz="4" w:space="0"/>
            </w:tcBorders>
            <w:noWrap w:val="0"/>
            <w:vAlign w:val="center"/>
          </w:tcPr>
          <w:p w14:paraId="150A674A">
            <w:pPr>
              <w:wordWrap w:val="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　</w:t>
            </w:r>
          </w:p>
        </w:tc>
        <w:tc>
          <w:tcPr>
            <w:tcW w:w="468" w:type="pct"/>
            <w:tcBorders>
              <w:top w:val="nil"/>
              <w:left w:val="nil"/>
              <w:bottom w:val="single" w:color="auto" w:sz="4" w:space="0"/>
              <w:right w:val="single" w:color="auto" w:sz="4" w:space="0"/>
            </w:tcBorders>
            <w:noWrap w:val="0"/>
            <w:vAlign w:val="center"/>
          </w:tcPr>
          <w:p w14:paraId="236D9392">
            <w:pPr>
              <w:wordWrap w:val="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　</w:t>
            </w:r>
          </w:p>
        </w:tc>
      </w:tr>
      <w:tr w14:paraId="1DAAD049">
        <w:tblPrEx>
          <w:tblCellMar>
            <w:top w:w="0" w:type="dxa"/>
            <w:left w:w="108" w:type="dxa"/>
            <w:bottom w:w="0" w:type="dxa"/>
            <w:right w:w="108" w:type="dxa"/>
          </w:tblCellMar>
        </w:tblPrEx>
        <w:trPr>
          <w:trHeight w:val="445" w:hRule="atLeast"/>
          <w:jc w:val="center"/>
        </w:trPr>
        <w:tc>
          <w:tcPr>
            <w:tcW w:w="466" w:type="pct"/>
            <w:vMerge w:val="continue"/>
            <w:tcBorders>
              <w:top w:val="nil"/>
              <w:left w:val="single" w:color="auto" w:sz="4" w:space="0"/>
              <w:bottom w:val="single" w:color="000000" w:sz="4" w:space="0"/>
              <w:right w:val="single" w:color="auto" w:sz="4" w:space="0"/>
            </w:tcBorders>
            <w:noWrap w:val="0"/>
            <w:vAlign w:val="center"/>
          </w:tcPr>
          <w:p w14:paraId="1BF486B1">
            <w:pPr>
              <w:wordWrap w:val="0"/>
              <w:jc w:val="center"/>
              <w:rPr>
                <w:rFonts w:hint="eastAsia" w:asciiTheme="minorEastAsia" w:hAnsiTheme="minorEastAsia" w:eastAsiaTheme="minorEastAsia" w:cstheme="minorEastAsia"/>
                <w:sz w:val="21"/>
                <w:szCs w:val="21"/>
                <w:highlight w:val="none"/>
              </w:rPr>
            </w:pPr>
          </w:p>
        </w:tc>
        <w:tc>
          <w:tcPr>
            <w:tcW w:w="814" w:type="pct"/>
            <w:vMerge w:val="continue"/>
            <w:tcBorders>
              <w:top w:val="nil"/>
              <w:left w:val="single" w:color="auto" w:sz="4" w:space="0"/>
              <w:bottom w:val="single" w:color="000000" w:sz="4" w:space="0"/>
              <w:right w:val="single" w:color="auto" w:sz="4" w:space="0"/>
            </w:tcBorders>
            <w:noWrap w:val="0"/>
            <w:vAlign w:val="center"/>
          </w:tcPr>
          <w:p w14:paraId="0C169F23">
            <w:pPr>
              <w:wordWrap w:val="0"/>
              <w:jc w:val="center"/>
              <w:rPr>
                <w:rFonts w:hint="eastAsia" w:asciiTheme="minorEastAsia" w:hAnsiTheme="minorEastAsia" w:eastAsiaTheme="minorEastAsia" w:cstheme="minorEastAsia"/>
                <w:sz w:val="21"/>
                <w:szCs w:val="21"/>
                <w:highlight w:val="none"/>
              </w:rPr>
            </w:pPr>
          </w:p>
        </w:tc>
        <w:tc>
          <w:tcPr>
            <w:tcW w:w="2009" w:type="pct"/>
            <w:tcBorders>
              <w:top w:val="nil"/>
              <w:left w:val="nil"/>
              <w:bottom w:val="single" w:color="auto" w:sz="4" w:space="0"/>
              <w:right w:val="single" w:color="auto" w:sz="4" w:space="0"/>
            </w:tcBorders>
            <w:noWrap w:val="0"/>
            <w:vAlign w:val="center"/>
          </w:tcPr>
          <w:p w14:paraId="49C96847">
            <w:pPr>
              <w:wordWrap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时令菜推出情况</w:t>
            </w:r>
          </w:p>
        </w:tc>
        <w:tc>
          <w:tcPr>
            <w:tcW w:w="775" w:type="pct"/>
            <w:tcBorders>
              <w:top w:val="nil"/>
              <w:left w:val="nil"/>
              <w:bottom w:val="single" w:color="auto" w:sz="4" w:space="0"/>
              <w:right w:val="single" w:color="auto" w:sz="4" w:space="0"/>
            </w:tcBorders>
            <w:noWrap w:val="0"/>
            <w:vAlign w:val="center"/>
          </w:tcPr>
          <w:p w14:paraId="12920CA9">
            <w:pPr>
              <w:wordWrap w:val="0"/>
              <w:jc w:val="center"/>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5</w:t>
            </w:r>
          </w:p>
        </w:tc>
        <w:tc>
          <w:tcPr>
            <w:tcW w:w="466" w:type="pct"/>
            <w:tcBorders>
              <w:top w:val="nil"/>
              <w:left w:val="nil"/>
              <w:bottom w:val="single" w:color="auto" w:sz="4" w:space="0"/>
              <w:right w:val="single" w:color="auto" w:sz="4" w:space="0"/>
            </w:tcBorders>
            <w:noWrap w:val="0"/>
            <w:vAlign w:val="center"/>
          </w:tcPr>
          <w:p w14:paraId="62300D34">
            <w:pPr>
              <w:wordWrap w:val="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　</w:t>
            </w:r>
          </w:p>
        </w:tc>
        <w:tc>
          <w:tcPr>
            <w:tcW w:w="468" w:type="pct"/>
            <w:tcBorders>
              <w:top w:val="nil"/>
              <w:left w:val="nil"/>
              <w:bottom w:val="single" w:color="auto" w:sz="4" w:space="0"/>
              <w:right w:val="single" w:color="auto" w:sz="4" w:space="0"/>
            </w:tcBorders>
            <w:noWrap w:val="0"/>
            <w:vAlign w:val="center"/>
          </w:tcPr>
          <w:p w14:paraId="11EF0DC4">
            <w:pPr>
              <w:wordWrap w:val="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　</w:t>
            </w:r>
          </w:p>
        </w:tc>
      </w:tr>
      <w:tr w14:paraId="48D66D33">
        <w:tblPrEx>
          <w:tblCellMar>
            <w:top w:w="0" w:type="dxa"/>
            <w:left w:w="108" w:type="dxa"/>
            <w:bottom w:w="0" w:type="dxa"/>
            <w:right w:w="108" w:type="dxa"/>
          </w:tblCellMar>
        </w:tblPrEx>
        <w:trPr>
          <w:trHeight w:val="445" w:hRule="atLeast"/>
          <w:jc w:val="center"/>
        </w:trPr>
        <w:tc>
          <w:tcPr>
            <w:tcW w:w="466" w:type="pct"/>
            <w:vMerge w:val="restart"/>
            <w:tcBorders>
              <w:top w:val="nil"/>
              <w:left w:val="single" w:color="auto" w:sz="4" w:space="0"/>
              <w:right w:val="single" w:color="auto" w:sz="4" w:space="0"/>
            </w:tcBorders>
            <w:noWrap w:val="0"/>
            <w:vAlign w:val="center"/>
          </w:tcPr>
          <w:p w14:paraId="1B4D64DE">
            <w:pPr>
              <w:wordWrap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5</w:t>
            </w:r>
          </w:p>
        </w:tc>
        <w:tc>
          <w:tcPr>
            <w:tcW w:w="814" w:type="pct"/>
            <w:vMerge w:val="restart"/>
            <w:tcBorders>
              <w:top w:val="nil"/>
              <w:left w:val="single" w:color="auto" w:sz="4" w:space="0"/>
              <w:right w:val="single" w:color="auto" w:sz="4" w:space="0"/>
            </w:tcBorders>
            <w:noWrap w:val="0"/>
            <w:vAlign w:val="center"/>
          </w:tcPr>
          <w:p w14:paraId="0DB172D3">
            <w:pPr>
              <w:wordWrap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人员</w:t>
            </w:r>
            <w:r>
              <w:rPr>
                <w:rFonts w:hint="eastAsia" w:asciiTheme="minorEastAsia" w:hAnsiTheme="minorEastAsia" w:eastAsiaTheme="minorEastAsia" w:cstheme="minorEastAsia"/>
                <w:sz w:val="21"/>
                <w:szCs w:val="21"/>
                <w:highlight w:val="none"/>
                <w:lang w:val="en-US" w:eastAsia="zh-CN"/>
              </w:rPr>
              <w:t>考核</w:t>
            </w:r>
            <w:r>
              <w:rPr>
                <w:rFonts w:hint="eastAsia" w:asciiTheme="minorEastAsia" w:hAnsiTheme="minorEastAsia" w:eastAsiaTheme="minorEastAsia" w:cstheme="minorEastAsia"/>
                <w:sz w:val="21"/>
                <w:szCs w:val="21"/>
                <w:highlight w:val="none"/>
              </w:rPr>
              <w:br w:type="textWrapping"/>
            </w:r>
            <w:r>
              <w:rPr>
                <w:rFonts w:hint="eastAsia" w:asciiTheme="minorEastAsia" w:hAnsiTheme="minorEastAsia" w:eastAsiaTheme="minorEastAsia" w:cstheme="minorEastAsia"/>
                <w:sz w:val="21"/>
                <w:szCs w:val="21"/>
                <w:highlight w:val="none"/>
              </w:rPr>
              <w:t>（20分）</w:t>
            </w:r>
          </w:p>
        </w:tc>
        <w:tc>
          <w:tcPr>
            <w:tcW w:w="2009" w:type="pct"/>
            <w:tcBorders>
              <w:top w:val="nil"/>
              <w:left w:val="nil"/>
              <w:bottom w:val="single" w:color="auto" w:sz="4" w:space="0"/>
              <w:right w:val="single" w:color="auto" w:sz="4" w:space="0"/>
            </w:tcBorders>
            <w:noWrap w:val="0"/>
            <w:vAlign w:val="center"/>
          </w:tcPr>
          <w:p w14:paraId="3F7AFDAC">
            <w:pPr>
              <w:wordWrap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lang w:val="en-US" w:eastAsia="zh-CN"/>
              </w:rPr>
              <w:t>管理人员业务能力</w:t>
            </w:r>
          </w:p>
        </w:tc>
        <w:tc>
          <w:tcPr>
            <w:tcW w:w="775" w:type="pct"/>
            <w:tcBorders>
              <w:top w:val="nil"/>
              <w:left w:val="nil"/>
              <w:bottom w:val="single" w:color="auto" w:sz="4" w:space="0"/>
              <w:right w:val="single" w:color="auto" w:sz="4" w:space="0"/>
            </w:tcBorders>
            <w:noWrap w:val="0"/>
            <w:vAlign w:val="center"/>
          </w:tcPr>
          <w:p w14:paraId="1E22197D">
            <w:pPr>
              <w:wordWrap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lang w:val="en-US" w:eastAsia="zh-CN"/>
              </w:rPr>
              <w:t>8</w:t>
            </w:r>
          </w:p>
        </w:tc>
        <w:tc>
          <w:tcPr>
            <w:tcW w:w="466" w:type="pct"/>
            <w:tcBorders>
              <w:top w:val="nil"/>
              <w:left w:val="nil"/>
              <w:bottom w:val="single" w:color="auto" w:sz="4" w:space="0"/>
              <w:right w:val="single" w:color="auto" w:sz="4" w:space="0"/>
            </w:tcBorders>
            <w:noWrap w:val="0"/>
            <w:vAlign w:val="center"/>
          </w:tcPr>
          <w:p w14:paraId="4AFB411E">
            <w:pPr>
              <w:wordWrap w:val="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　</w:t>
            </w:r>
          </w:p>
        </w:tc>
        <w:tc>
          <w:tcPr>
            <w:tcW w:w="468" w:type="pct"/>
            <w:tcBorders>
              <w:top w:val="nil"/>
              <w:left w:val="nil"/>
              <w:bottom w:val="single" w:color="auto" w:sz="4" w:space="0"/>
              <w:right w:val="single" w:color="auto" w:sz="4" w:space="0"/>
            </w:tcBorders>
            <w:noWrap w:val="0"/>
            <w:vAlign w:val="center"/>
          </w:tcPr>
          <w:p w14:paraId="4915F9B2">
            <w:pPr>
              <w:wordWrap w:val="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　</w:t>
            </w:r>
          </w:p>
        </w:tc>
      </w:tr>
      <w:tr w14:paraId="17BD30C3">
        <w:tblPrEx>
          <w:tblCellMar>
            <w:top w:w="0" w:type="dxa"/>
            <w:left w:w="108" w:type="dxa"/>
            <w:bottom w:w="0" w:type="dxa"/>
            <w:right w:w="108" w:type="dxa"/>
          </w:tblCellMar>
        </w:tblPrEx>
        <w:trPr>
          <w:trHeight w:val="445" w:hRule="atLeast"/>
          <w:jc w:val="center"/>
        </w:trPr>
        <w:tc>
          <w:tcPr>
            <w:tcW w:w="466" w:type="pct"/>
            <w:vMerge w:val="continue"/>
            <w:tcBorders>
              <w:left w:val="single" w:color="auto" w:sz="4" w:space="0"/>
              <w:right w:val="single" w:color="auto" w:sz="4" w:space="0"/>
            </w:tcBorders>
            <w:noWrap w:val="0"/>
            <w:vAlign w:val="center"/>
          </w:tcPr>
          <w:p w14:paraId="09ABB190">
            <w:pPr>
              <w:wordWrap w:val="0"/>
              <w:jc w:val="center"/>
              <w:rPr>
                <w:rFonts w:hint="eastAsia" w:asciiTheme="minorEastAsia" w:hAnsiTheme="minorEastAsia" w:eastAsiaTheme="minorEastAsia" w:cstheme="minorEastAsia"/>
                <w:sz w:val="21"/>
                <w:szCs w:val="21"/>
                <w:highlight w:val="none"/>
              </w:rPr>
            </w:pPr>
          </w:p>
        </w:tc>
        <w:tc>
          <w:tcPr>
            <w:tcW w:w="814" w:type="pct"/>
            <w:vMerge w:val="continue"/>
            <w:tcBorders>
              <w:left w:val="single" w:color="auto" w:sz="4" w:space="0"/>
              <w:right w:val="single" w:color="auto" w:sz="4" w:space="0"/>
            </w:tcBorders>
            <w:noWrap w:val="0"/>
            <w:vAlign w:val="center"/>
          </w:tcPr>
          <w:p w14:paraId="0AF6B7F4">
            <w:pPr>
              <w:wordWrap w:val="0"/>
              <w:jc w:val="center"/>
              <w:rPr>
                <w:rFonts w:hint="eastAsia" w:asciiTheme="minorEastAsia" w:hAnsiTheme="minorEastAsia" w:eastAsiaTheme="minorEastAsia" w:cstheme="minorEastAsia"/>
                <w:sz w:val="21"/>
                <w:szCs w:val="21"/>
                <w:highlight w:val="none"/>
              </w:rPr>
            </w:pPr>
          </w:p>
        </w:tc>
        <w:tc>
          <w:tcPr>
            <w:tcW w:w="2009" w:type="pct"/>
            <w:tcBorders>
              <w:top w:val="single" w:color="auto" w:sz="4" w:space="0"/>
              <w:left w:val="single" w:color="auto" w:sz="4" w:space="0"/>
              <w:bottom w:val="single" w:color="auto" w:sz="4" w:space="0"/>
              <w:right w:val="single" w:color="000000" w:sz="4" w:space="0"/>
            </w:tcBorders>
            <w:noWrap w:val="0"/>
            <w:vAlign w:val="center"/>
          </w:tcPr>
          <w:p w14:paraId="12B31E95">
            <w:pPr>
              <w:wordWrap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lang w:val="en-US" w:eastAsia="zh-CN"/>
              </w:rPr>
              <w:t>工作人员操作规范</w:t>
            </w:r>
          </w:p>
        </w:tc>
        <w:tc>
          <w:tcPr>
            <w:tcW w:w="775" w:type="pct"/>
            <w:tcBorders>
              <w:top w:val="nil"/>
              <w:left w:val="nil"/>
              <w:bottom w:val="single" w:color="auto" w:sz="4" w:space="0"/>
              <w:right w:val="single" w:color="auto" w:sz="4" w:space="0"/>
            </w:tcBorders>
            <w:noWrap w:val="0"/>
            <w:vAlign w:val="center"/>
          </w:tcPr>
          <w:p w14:paraId="28BCE18A">
            <w:pPr>
              <w:wordWrap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lang w:val="en-US" w:eastAsia="zh-CN"/>
              </w:rPr>
              <w:t>6</w:t>
            </w:r>
          </w:p>
        </w:tc>
        <w:tc>
          <w:tcPr>
            <w:tcW w:w="466" w:type="pct"/>
            <w:tcBorders>
              <w:top w:val="nil"/>
              <w:left w:val="nil"/>
              <w:bottom w:val="single" w:color="auto" w:sz="4" w:space="0"/>
              <w:right w:val="single" w:color="auto" w:sz="4" w:space="0"/>
            </w:tcBorders>
            <w:noWrap w:val="0"/>
            <w:vAlign w:val="center"/>
          </w:tcPr>
          <w:p w14:paraId="24D58579">
            <w:pPr>
              <w:wordWrap w:val="0"/>
              <w:rPr>
                <w:rFonts w:hint="eastAsia" w:asciiTheme="minorEastAsia" w:hAnsiTheme="minorEastAsia" w:eastAsiaTheme="minorEastAsia" w:cstheme="minorEastAsia"/>
                <w:sz w:val="21"/>
                <w:szCs w:val="21"/>
                <w:highlight w:val="none"/>
              </w:rPr>
            </w:pPr>
          </w:p>
        </w:tc>
        <w:tc>
          <w:tcPr>
            <w:tcW w:w="468" w:type="pct"/>
            <w:tcBorders>
              <w:top w:val="nil"/>
              <w:left w:val="nil"/>
              <w:bottom w:val="single" w:color="auto" w:sz="4" w:space="0"/>
              <w:right w:val="single" w:color="auto" w:sz="4" w:space="0"/>
            </w:tcBorders>
            <w:noWrap w:val="0"/>
            <w:vAlign w:val="center"/>
          </w:tcPr>
          <w:p w14:paraId="171B1F07">
            <w:pPr>
              <w:wordWrap w:val="0"/>
              <w:rPr>
                <w:rFonts w:hint="eastAsia" w:asciiTheme="minorEastAsia" w:hAnsiTheme="minorEastAsia" w:eastAsiaTheme="minorEastAsia" w:cstheme="minorEastAsia"/>
                <w:sz w:val="21"/>
                <w:szCs w:val="21"/>
                <w:highlight w:val="none"/>
              </w:rPr>
            </w:pPr>
          </w:p>
        </w:tc>
      </w:tr>
      <w:tr w14:paraId="1404FDE5">
        <w:tblPrEx>
          <w:tblCellMar>
            <w:top w:w="0" w:type="dxa"/>
            <w:left w:w="108" w:type="dxa"/>
            <w:bottom w:w="0" w:type="dxa"/>
            <w:right w:w="108" w:type="dxa"/>
          </w:tblCellMar>
        </w:tblPrEx>
        <w:trPr>
          <w:trHeight w:val="445" w:hRule="atLeast"/>
          <w:jc w:val="center"/>
        </w:trPr>
        <w:tc>
          <w:tcPr>
            <w:tcW w:w="466" w:type="pct"/>
            <w:vMerge w:val="continue"/>
            <w:tcBorders>
              <w:left w:val="single" w:color="auto" w:sz="4" w:space="0"/>
              <w:bottom w:val="single" w:color="auto" w:sz="4" w:space="0"/>
              <w:right w:val="single" w:color="auto" w:sz="4" w:space="0"/>
            </w:tcBorders>
            <w:noWrap w:val="0"/>
            <w:vAlign w:val="center"/>
          </w:tcPr>
          <w:p w14:paraId="1AEEB46D">
            <w:pPr>
              <w:wordWrap w:val="0"/>
              <w:jc w:val="center"/>
              <w:rPr>
                <w:rFonts w:hint="eastAsia" w:asciiTheme="minorEastAsia" w:hAnsiTheme="minorEastAsia" w:eastAsiaTheme="minorEastAsia" w:cstheme="minorEastAsia"/>
                <w:sz w:val="21"/>
                <w:szCs w:val="21"/>
                <w:highlight w:val="none"/>
              </w:rPr>
            </w:pPr>
          </w:p>
        </w:tc>
        <w:tc>
          <w:tcPr>
            <w:tcW w:w="814" w:type="pct"/>
            <w:vMerge w:val="continue"/>
            <w:tcBorders>
              <w:left w:val="single" w:color="auto" w:sz="4" w:space="0"/>
              <w:bottom w:val="single" w:color="auto" w:sz="4" w:space="0"/>
              <w:right w:val="single" w:color="auto" w:sz="4" w:space="0"/>
            </w:tcBorders>
            <w:noWrap w:val="0"/>
            <w:vAlign w:val="center"/>
          </w:tcPr>
          <w:p w14:paraId="0C915CE9">
            <w:pPr>
              <w:wordWrap w:val="0"/>
              <w:jc w:val="center"/>
              <w:rPr>
                <w:rFonts w:hint="eastAsia" w:asciiTheme="minorEastAsia" w:hAnsiTheme="minorEastAsia" w:eastAsiaTheme="minorEastAsia" w:cstheme="minorEastAsia"/>
                <w:sz w:val="21"/>
                <w:szCs w:val="21"/>
                <w:highlight w:val="none"/>
              </w:rPr>
            </w:pPr>
          </w:p>
        </w:tc>
        <w:tc>
          <w:tcPr>
            <w:tcW w:w="2009" w:type="pct"/>
            <w:tcBorders>
              <w:top w:val="single" w:color="auto" w:sz="4" w:space="0"/>
              <w:left w:val="single" w:color="auto" w:sz="4" w:space="0"/>
              <w:bottom w:val="single" w:color="auto" w:sz="4" w:space="0"/>
              <w:right w:val="single" w:color="000000" w:sz="4" w:space="0"/>
            </w:tcBorders>
            <w:noWrap w:val="0"/>
            <w:vAlign w:val="center"/>
          </w:tcPr>
          <w:p w14:paraId="73F28CF1">
            <w:pPr>
              <w:wordWrap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lang w:val="en-US" w:eastAsia="zh-CN"/>
              </w:rPr>
              <w:t>工作人员</w:t>
            </w:r>
            <w:r>
              <w:rPr>
                <w:rFonts w:hint="eastAsia" w:asciiTheme="minorEastAsia" w:hAnsiTheme="minorEastAsia" w:eastAsiaTheme="minorEastAsia" w:cstheme="minorEastAsia"/>
                <w:sz w:val="21"/>
                <w:szCs w:val="21"/>
                <w:highlight w:val="none"/>
              </w:rPr>
              <w:t>在岗情况</w:t>
            </w:r>
          </w:p>
        </w:tc>
        <w:tc>
          <w:tcPr>
            <w:tcW w:w="775" w:type="pct"/>
            <w:tcBorders>
              <w:top w:val="nil"/>
              <w:left w:val="nil"/>
              <w:bottom w:val="single" w:color="auto" w:sz="4" w:space="0"/>
              <w:right w:val="single" w:color="auto" w:sz="4" w:space="0"/>
            </w:tcBorders>
            <w:noWrap w:val="0"/>
            <w:vAlign w:val="center"/>
          </w:tcPr>
          <w:p w14:paraId="56D4CE29">
            <w:pPr>
              <w:wordWrap w:val="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6</w:t>
            </w:r>
          </w:p>
        </w:tc>
        <w:tc>
          <w:tcPr>
            <w:tcW w:w="466" w:type="pct"/>
            <w:tcBorders>
              <w:top w:val="nil"/>
              <w:left w:val="nil"/>
              <w:bottom w:val="single" w:color="auto" w:sz="4" w:space="0"/>
              <w:right w:val="single" w:color="auto" w:sz="4" w:space="0"/>
            </w:tcBorders>
            <w:noWrap w:val="0"/>
            <w:vAlign w:val="center"/>
          </w:tcPr>
          <w:p w14:paraId="5838CBC0">
            <w:pPr>
              <w:wordWrap w:val="0"/>
              <w:rPr>
                <w:rFonts w:hint="eastAsia" w:asciiTheme="minorEastAsia" w:hAnsiTheme="minorEastAsia" w:eastAsiaTheme="minorEastAsia" w:cstheme="minorEastAsia"/>
                <w:sz w:val="21"/>
                <w:szCs w:val="21"/>
                <w:highlight w:val="none"/>
              </w:rPr>
            </w:pPr>
          </w:p>
        </w:tc>
        <w:tc>
          <w:tcPr>
            <w:tcW w:w="468" w:type="pct"/>
            <w:tcBorders>
              <w:top w:val="nil"/>
              <w:left w:val="nil"/>
              <w:bottom w:val="single" w:color="auto" w:sz="4" w:space="0"/>
              <w:right w:val="single" w:color="auto" w:sz="4" w:space="0"/>
            </w:tcBorders>
            <w:noWrap w:val="0"/>
            <w:vAlign w:val="center"/>
          </w:tcPr>
          <w:p w14:paraId="2837D581">
            <w:pPr>
              <w:wordWrap w:val="0"/>
              <w:rPr>
                <w:rFonts w:hint="eastAsia" w:asciiTheme="minorEastAsia" w:hAnsiTheme="minorEastAsia" w:eastAsiaTheme="minorEastAsia" w:cstheme="minorEastAsia"/>
                <w:sz w:val="21"/>
                <w:szCs w:val="21"/>
                <w:highlight w:val="none"/>
              </w:rPr>
            </w:pPr>
          </w:p>
        </w:tc>
      </w:tr>
      <w:tr w14:paraId="7779596F">
        <w:tblPrEx>
          <w:tblCellMar>
            <w:top w:w="0" w:type="dxa"/>
            <w:left w:w="108" w:type="dxa"/>
            <w:bottom w:w="0" w:type="dxa"/>
            <w:right w:w="108" w:type="dxa"/>
          </w:tblCellMar>
        </w:tblPrEx>
        <w:trPr>
          <w:trHeight w:val="445" w:hRule="atLeast"/>
          <w:jc w:val="center"/>
        </w:trPr>
        <w:tc>
          <w:tcPr>
            <w:tcW w:w="3289" w:type="pct"/>
            <w:gridSpan w:val="3"/>
            <w:tcBorders>
              <w:top w:val="single" w:color="auto" w:sz="4" w:space="0"/>
              <w:left w:val="single" w:color="auto" w:sz="4" w:space="0"/>
              <w:bottom w:val="single" w:color="auto" w:sz="4" w:space="0"/>
              <w:right w:val="single" w:color="000000" w:sz="4" w:space="0"/>
            </w:tcBorders>
            <w:noWrap w:val="0"/>
            <w:vAlign w:val="center"/>
          </w:tcPr>
          <w:p w14:paraId="723C2044">
            <w:pPr>
              <w:wordWrap w:val="0"/>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合计</w:t>
            </w:r>
          </w:p>
        </w:tc>
        <w:tc>
          <w:tcPr>
            <w:tcW w:w="775" w:type="pct"/>
            <w:tcBorders>
              <w:top w:val="nil"/>
              <w:left w:val="nil"/>
              <w:bottom w:val="single" w:color="auto" w:sz="4" w:space="0"/>
              <w:right w:val="single" w:color="auto" w:sz="4" w:space="0"/>
            </w:tcBorders>
            <w:noWrap w:val="0"/>
            <w:vAlign w:val="center"/>
          </w:tcPr>
          <w:p w14:paraId="3ECA692E">
            <w:pPr>
              <w:wordWrap w:val="0"/>
              <w:jc w:val="center"/>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100</w:t>
            </w:r>
          </w:p>
        </w:tc>
        <w:tc>
          <w:tcPr>
            <w:tcW w:w="466" w:type="pct"/>
            <w:tcBorders>
              <w:top w:val="nil"/>
              <w:left w:val="nil"/>
              <w:bottom w:val="single" w:color="auto" w:sz="4" w:space="0"/>
              <w:right w:val="single" w:color="auto" w:sz="4" w:space="0"/>
            </w:tcBorders>
            <w:noWrap w:val="0"/>
            <w:vAlign w:val="center"/>
          </w:tcPr>
          <w:p w14:paraId="1E5B74E4">
            <w:pPr>
              <w:wordWrap w:val="0"/>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　</w:t>
            </w:r>
          </w:p>
        </w:tc>
        <w:tc>
          <w:tcPr>
            <w:tcW w:w="468" w:type="pct"/>
            <w:tcBorders>
              <w:top w:val="nil"/>
              <w:left w:val="nil"/>
              <w:bottom w:val="single" w:color="auto" w:sz="4" w:space="0"/>
              <w:right w:val="single" w:color="auto" w:sz="4" w:space="0"/>
            </w:tcBorders>
            <w:noWrap w:val="0"/>
            <w:vAlign w:val="center"/>
          </w:tcPr>
          <w:p w14:paraId="6151C6A3">
            <w:pPr>
              <w:wordWrap w:val="0"/>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　</w:t>
            </w:r>
          </w:p>
        </w:tc>
      </w:tr>
      <w:tr w14:paraId="47308471">
        <w:tblPrEx>
          <w:tblCellMar>
            <w:top w:w="0" w:type="dxa"/>
            <w:left w:w="108" w:type="dxa"/>
            <w:bottom w:w="0" w:type="dxa"/>
            <w:right w:w="108" w:type="dxa"/>
          </w:tblCellMar>
        </w:tblPrEx>
        <w:trPr>
          <w:trHeight w:val="445" w:hRule="atLeast"/>
          <w:jc w:val="center"/>
        </w:trPr>
        <w:tc>
          <w:tcPr>
            <w:tcW w:w="5000" w:type="pct"/>
            <w:gridSpan w:val="6"/>
            <w:tcBorders>
              <w:top w:val="single" w:color="auto" w:sz="4" w:space="0"/>
              <w:left w:val="single" w:color="auto" w:sz="4" w:space="0"/>
              <w:bottom w:val="single" w:color="auto" w:sz="4" w:space="0"/>
              <w:right w:val="single" w:color="auto" w:sz="4" w:space="0"/>
            </w:tcBorders>
            <w:noWrap w:val="0"/>
            <w:vAlign w:val="center"/>
          </w:tcPr>
          <w:p w14:paraId="417C91CF">
            <w:pPr>
              <w:wordWrap/>
              <w:jc w:val="lef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考核</w:t>
            </w:r>
            <w:r>
              <w:rPr>
                <w:rFonts w:hint="default" w:ascii="宋体" w:hAnsi="宋体" w:cs="宋体"/>
                <w:sz w:val="21"/>
                <w:szCs w:val="21"/>
                <w:highlight w:val="none"/>
                <w:lang w:eastAsia="zh-CN"/>
              </w:rPr>
              <w:t>人</w:t>
            </w:r>
            <w:r>
              <w:rPr>
                <w:rFonts w:hint="eastAsia" w:ascii="宋体" w:hAnsi="宋体" w:eastAsia="宋体" w:cs="宋体"/>
                <w:sz w:val="21"/>
                <w:szCs w:val="21"/>
                <w:highlight w:val="none"/>
                <w:lang w:val="en-US" w:eastAsia="zh-CN"/>
              </w:rPr>
              <w:t>：</w:t>
            </w:r>
          </w:p>
          <w:p w14:paraId="6E1A676F">
            <w:pPr>
              <w:pStyle w:val="10"/>
              <w:rPr>
                <w:rFonts w:hint="eastAsia"/>
                <w:highlight w:val="none"/>
                <w:lang w:val="en-US" w:eastAsia="zh-CN"/>
              </w:rPr>
            </w:pPr>
          </w:p>
          <w:p w14:paraId="40D98210">
            <w:pPr>
              <w:wordWrap/>
              <w:jc w:val="lef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考核日期：      年    月    日</w:t>
            </w:r>
          </w:p>
          <w:p w14:paraId="0BE57AD5">
            <w:pPr>
              <w:wordWrap w:val="0"/>
              <w:rPr>
                <w:rFonts w:hint="eastAsia" w:asciiTheme="minorEastAsia" w:hAnsiTheme="minorEastAsia" w:eastAsiaTheme="minorEastAsia" w:cstheme="minorEastAsia"/>
                <w:sz w:val="21"/>
                <w:szCs w:val="21"/>
                <w:highlight w:val="none"/>
                <w:lang w:val="en-US" w:eastAsia="zh-CN"/>
              </w:rPr>
            </w:pPr>
          </w:p>
        </w:tc>
      </w:tr>
    </w:tbl>
    <w:p w14:paraId="48A719DB">
      <w:pPr>
        <w:pStyle w:val="35"/>
        <w:ind w:left="0" w:leftChars="0" w:firstLine="0" w:firstLineChars="0"/>
        <w:jc w:val="both"/>
        <w:rPr>
          <w:rFonts w:hint="eastAsia"/>
          <w:highlight w:val="none"/>
        </w:rPr>
      </w:pPr>
    </w:p>
    <w:p w14:paraId="3FA70BAB">
      <w:pPr>
        <w:rPr>
          <w:rFonts w:hint="eastAsia"/>
          <w:highlight w:val="none"/>
        </w:rPr>
      </w:pPr>
    </w:p>
    <w:p w14:paraId="7753EF0C">
      <w:pPr>
        <w:pStyle w:val="10"/>
        <w:rPr>
          <w:rFonts w:hint="eastAsia"/>
          <w:highlight w:val="none"/>
        </w:rPr>
      </w:pPr>
    </w:p>
    <w:p w14:paraId="78FBC0D4">
      <w:pPr>
        <w:rPr>
          <w:rFonts w:hint="eastAsia"/>
          <w:highlight w:val="none"/>
        </w:rPr>
      </w:pPr>
    </w:p>
    <w:p w14:paraId="589A341B">
      <w:pPr>
        <w:widowControl/>
        <w:spacing w:line="360" w:lineRule="auto"/>
        <w:ind w:firstLine="0" w:firstLineChars="0"/>
        <w:jc w:val="center"/>
        <w:rPr>
          <w:rFonts w:hint="eastAsia" w:ascii="宋体" w:hAnsi="宋体" w:eastAsia="宋体" w:cs="宋体"/>
          <w:b/>
          <w:bCs/>
          <w:sz w:val="22"/>
          <w:szCs w:val="22"/>
          <w:highlight w:val="none"/>
        </w:rPr>
      </w:pPr>
      <w:r>
        <w:rPr>
          <w:rFonts w:hint="eastAsia" w:ascii="宋体" w:hAnsi="宋体" w:eastAsia="宋体" w:cs="宋体"/>
          <w:b/>
          <w:bCs/>
          <w:sz w:val="22"/>
          <w:szCs w:val="22"/>
          <w:highlight w:val="none"/>
        </w:rPr>
        <w:t>附表</w:t>
      </w:r>
      <w:r>
        <w:rPr>
          <w:rFonts w:hint="default" w:ascii="宋体" w:hAnsi="宋体" w:cs="宋体"/>
          <w:b/>
          <w:bCs/>
          <w:sz w:val="22"/>
          <w:szCs w:val="22"/>
          <w:highlight w:val="none"/>
        </w:rPr>
        <w:t>2</w:t>
      </w:r>
      <w:r>
        <w:rPr>
          <w:rFonts w:hint="eastAsia" w:ascii="宋体" w:hAnsi="宋体" w:eastAsia="宋体" w:cs="宋体"/>
          <w:b/>
          <w:bCs/>
          <w:sz w:val="22"/>
          <w:szCs w:val="22"/>
          <w:highlight w:val="none"/>
        </w:rPr>
        <w:t>：食堂管理服务人员考核标准</w:t>
      </w:r>
    </w:p>
    <w:tbl>
      <w:tblPr>
        <w:tblStyle w:val="23"/>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67"/>
        <w:gridCol w:w="2678"/>
        <w:gridCol w:w="1245"/>
        <w:gridCol w:w="3836"/>
      </w:tblGrid>
      <w:tr w14:paraId="5FD217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0" w:type="pct"/>
            <w:tcBorders>
              <w:top w:val="single" w:color="000000" w:sz="4" w:space="0"/>
              <w:left w:val="single" w:color="000000" w:sz="4" w:space="0"/>
              <w:bottom w:val="single" w:color="000000" w:sz="4" w:space="0"/>
              <w:right w:val="single" w:color="000000" w:sz="4" w:space="0"/>
            </w:tcBorders>
            <w:noWrap w:val="0"/>
            <w:vAlign w:val="center"/>
          </w:tcPr>
          <w:p w14:paraId="1914CC67">
            <w:pPr>
              <w:spacing w:line="300" w:lineRule="exact"/>
              <w:ind w:firstLine="0" w:firstLineChars="0"/>
              <w:jc w:val="center"/>
              <w:rPr>
                <w:rFonts w:hint="eastAsia" w:ascii="宋体" w:hAnsi="宋体" w:eastAsia="宋体" w:cs="宋体"/>
                <w:b/>
                <w:bCs/>
                <w:sz w:val="22"/>
                <w:szCs w:val="22"/>
                <w:highlight w:val="none"/>
              </w:rPr>
            </w:pPr>
            <w:r>
              <w:rPr>
                <w:rFonts w:hint="eastAsia" w:ascii="宋体" w:hAnsi="宋体" w:eastAsia="宋体" w:cs="宋体"/>
                <w:b/>
                <w:bCs/>
                <w:sz w:val="22"/>
                <w:szCs w:val="22"/>
                <w:highlight w:val="none"/>
              </w:rPr>
              <w:t>序号</w:t>
            </w:r>
          </w:p>
        </w:tc>
        <w:tc>
          <w:tcPr>
            <w:tcW w:w="1570" w:type="pct"/>
            <w:tcBorders>
              <w:top w:val="single" w:color="000000" w:sz="4" w:space="0"/>
              <w:left w:val="single" w:color="000000" w:sz="4" w:space="0"/>
              <w:bottom w:val="single" w:color="000000" w:sz="4" w:space="0"/>
              <w:right w:val="single" w:color="000000" w:sz="4" w:space="0"/>
            </w:tcBorders>
            <w:noWrap w:val="0"/>
            <w:vAlign w:val="center"/>
          </w:tcPr>
          <w:p w14:paraId="19DC378F">
            <w:pPr>
              <w:spacing w:line="300" w:lineRule="exact"/>
              <w:ind w:firstLine="0" w:firstLineChars="0"/>
              <w:jc w:val="center"/>
              <w:rPr>
                <w:rFonts w:hint="eastAsia" w:ascii="宋体" w:hAnsi="宋体" w:eastAsia="宋体" w:cs="宋体"/>
                <w:b/>
                <w:bCs/>
                <w:sz w:val="22"/>
                <w:szCs w:val="22"/>
                <w:highlight w:val="none"/>
              </w:rPr>
            </w:pPr>
            <w:r>
              <w:rPr>
                <w:rFonts w:hint="eastAsia" w:ascii="宋体" w:hAnsi="宋体" w:eastAsia="宋体" w:cs="宋体"/>
                <w:b/>
                <w:bCs/>
                <w:sz w:val="22"/>
                <w:szCs w:val="22"/>
                <w:highlight w:val="none"/>
              </w:rPr>
              <w:t>甲方考核事项</w:t>
            </w:r>
          </w:p>
        </w:tc>
        <w:tc>
          <w:tcPr>
            <w:tcW w:w="730" w:type="pct"/>
            <w:tcBorders>
              <w:top w:val="single" w:color="000000" w:sz="4" w:space="0"/>
              <w:left w:val="single" w:color="000000" w:sz="4" w:space="0"/>
              <w:bottom w:val="single" w:color="000000" w:sz="4" w:space="0"/>
              <w:right w:val="single" w:color="000000" w:sz="4" w:space="0"/>
            </w:tcBorders>
            <w:noWrap w:val="0"/>
            <w:vAlign w:val="center"/>
          </w:tcPr>
          <w:p w14:paraId="378F479A">
            <w:pPr>
              <w:spacing w:line="300" w:lineRule="exact"/>
              <w:ind w:firstLine="0" w:firstLineChars="0"/>
              <w:jc w:val="center"/>
              <w:rPr>
                <w:rFonts w:hint="eastAsia" w:ascii="宋体" w:hAnsi="宋体" w:eastAsia="宋体" w:cs="宋体"/>
                <w:b/>
                <w:bCs/>
                <w:sz w:val="22"/>
                <w:szCs w:val="22"/>
                <w:highlight w:val="none"/>
              </w:rPr>
            </w:pPr>
            <w:r>
              <w:rPr>
                <w:rFonts w:hint="eastAsia" w:ascii="宋体" w:hAnsi="宋体" w:eastAsia="宋体" w:cs="宋体"/>
                <w:b/>
                <w:bCs/>
                <w:sz w:val="22"/>
                <w:szCs w:val="22"/>
                <w:highlight w:val="none"/>
              </w:rPr>
              <w:t>服务标准</w:t>
            </w:r>
          </w:p>
        </w:tc>
        <w:tc>
          <w:tcPr>
            <w:tcW w:w="2249" w:type="pct"/>
            <w:tcBorders>
              <w:top w:val="single" w:color="000000" w:sz="4" w:space="0"/>
              <w:left w:val="single" w:color="000000" w:sz="4" w:space="0"/>
              <w:bottom w:val="single" w:color="000000" w:sz="4" w:space="0"/>
              <w:right w:val="single" w:color="000000" w:sz="4" w:space="0"/>
            </w:tcBorders>
            <w:noWrap w:val="0"/>
            <w:vAlign w:val="center"/>
          </w:tcPr>
          <w:p w14:paraId="417E7D9D">
            <w:pPr>
              <w:spacing w:line="300" w:lineRule="exact"/>
              <w:ind w:firstLine="0" w:firstLineChars="0"/>
              <w:jc w:val="center"/>
              <w:rPr>
                <w:rFonts w:hint="eastAsia" w:ascii="宋体" w:hAnsi="宋体" w:eastAsia="宋体" w:cs="宋体"/>
                <w:b/>
                <w:bCs/>
                <w:sz w:val="22"/>
                <w:szCs w:val="22"/>
                <w:highlight w:val="none"/>
                <w:lang w:eastAsia="zh-CN"/>
              </w:rPr>
            </w:pPr>
            <w:r>
              <w:rPr>
                <w:rFonts w:hint="eastAsia" w:ascii="宋体" w:hAnsi="宋体" w:eastAsia="宋体" w:cs="宋体"/>
                <w:b/>
                <w:bCs/>
                <w:sz w:val="22"/>
                <w:szCs w:val="22"/>
                <w:highlight w:val="none"/>
              </w:rPr>
              <w:t>考核不过，乙方</w:t>
            </w:r>
            <w:r>
              <w:rPr>
                <w:rFonts w:hint="eastAsia" w:ascii="宋体" w:hAnsi="宋体" w:cs="宋体"/>
                <w:b/>
                <w:bCs/>
                <w:sz w:val="22"/>
                <w:szCs w:val="22"/>
                <w:highlight w:val="none"/>
                <w:lang w:eastAsia="zh-CN"/>
              </w:rPr>
              <w:t>违约责任</w:t>
            </w:r>
          </w:p>
        </w:tc>
      </w:tr>
      <w:tr w14:paraId="027E8F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50" w:type="pct"/>
            <w:tcBorders>
              <w:top w:val="single" w:color="000000" w:sz="4" w:space="0"/>
              <w:left w:val="single" w:color="000000" w:sz="4" w:space="0"/>
              <w:bottom w:val="single" w:color="000000" w:sz="4" w:space="0"/>
              <w:right w:val="single" w:color="000000" w:sz="4" w:space="0"/>
            </w:tcBorders>
            <w:noWrap w:val="0"/>
            <w:vAlign w:val="center"/>
          </w:tcPr>
          <w:p w14:paraId="6B9C19EB">
            <w:pPr>
              <w:spacing w:line="300" w:lineRule="exact"/>
              <w:ind w:firstLine="0" w:firstLineChars="0"/>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1</w:t>
            </w:r>
          </w:p>
        </w:tc>
        <w:tc>
          <w:tcPr>
            <w:tcW w:w="1570" w:type="pct"/>
            <w:tcBorders>
              <w:top w:val="single" w:color="000000" w:sz="4" w:space="0"/>
              <w:left w:val="single" w:color="000000" w:sz="4" w:space="0"/>
              <w:bottom w:val="single" w:color="000000" w:sz="4" w:space="0"/>
              <w:right w:val="single" w:color="000000" w:sz="4" w:space="0"/>
            </w:tcBorders>
            <w:noWrap w:val="0"/>
            <w:vAlign w:val="center"/>
          </w:tcPr>
          <w:p w14:paraId="697C2F5E">
            <w:pPr>
              <w:spacing w:line="300" w:lineRule="exact"/>
              <w:ind w:firstLine="0" w:firstLineChars="0"/>
              <w:rPr>
                <w:rFonts w:hint="eastAsia" w:ascii="宋体" w:hAnsi="宋体" w:eastAsia="宋体" w:cs="宋体"/>
                <w:sz w:val="22"/>
                <w:szCs w:val="22"/>
                <w:highlight w:val="none"/>
              </w:rPr>
            </w:pPr>
            <w:r>
              <w:rPr>
                <w:rFonts w:hint="eastAsia" w:ascii="宋体" w:hAnsi="宋体" w:eastAsia="宋体" w:cs="宋体"/>
                <w:sz w:val="22"/>
                <w:szCs w:val="22"/>
                <w:highlight w:val="none"/>
              </w:rPr>
              <w:t>不定期对食堂服务人员卫生工作进行检查（就餐环境、餐具等卫生状况）。</w:t>
            </w:r>
          </w:p>
        </w:tc>
        <w:tc>
          <w:tcPr>
            <w:tcW w:w="730" w:type="pct"/>
            <w:tcBorders>
              <w:top w:val="single" w:color="000000" w:sz="4" w:space="0"/>
              <w:left w:val="single" w:color="000000" w:sz="4" w:space="0"/>
              <w:bottom w:val="single" w:color="000000" w:sz="4" w:space="0"/>
              <w:right w:val="single" w:color="000000" w:sz="4" w:space="0"/>
            </w:tcBorders>
            <w:noWrap w:val="0"/>
            <w:vAlign w:val="center"/>
          </w:tcPr>
          <w:p w14:paraId="694045B3">
            <w:pPr>
              <w:spacing w:line="300" w:lineRule="exact"/>
              <w:ind w:firstLine="0" w:firstLineChars="0"/>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合格</w:t>
            </w:r>
          </w:p>
        </w:tc>
        <w:tc>
          <w:tcPr>
            <w:tcW w:w="2249" w:type="pct"/>
            <w:tcBorders>
              <w:top w:val="single" w:color="000000" w:sz="4" w:space="0"/>
              <w:left w:val="single" w:color="000000" w:sz="4" w:space="0"/>
              <w:bottom w:val="single" w:color="000000" w:sz="4" w:space="0"/>
              <w:right w:val="single" w:color="000000" w:sz="4" w:space="0"/>
            </w:tcBorders>
            <w:noWrap w:val="0"/>
            <w:vAlign w:val="center"/>
          </w:tcPr>
          <w:p w14:paraId="1B13E5B5">
            <w:pPr>
              <w:spacing w:line="300" w:lineRule="exact"/>
              <w:ind w:firstLine="0" w:firstLineChars="0"/>
              <w:rPr>
                <w:rFonts w:hint="eastAsia" w:ascii="宋体" w:hAnsi="宋体" w:eastAsia="宋体" w:cs="宋体"/>
                <w:sz w:val="22"/>
                <w:szCs w:val="22"/>
                <w:highlight w:val="none"/>
              </w:rPr>
            </w:pPr>
            <w:r>
              <w:rPr>
                <w:rFonts w:hint="eastAsia" w:ascii="宋体" w:hAnsi="宋体" w:eastAsia="宋体" w:cs="宋体"/>
                <w:sz w:val="22"/>
                <w:szCs w:val="22"/>
                <w:highlight w:val="none"/>
              </w:rPr>
              <w:t>一次检查不合格</w:t>
            </w:r>
            <w:r>
              <w:rPr>
                <w:rFonts w:hint="eastAsia" w:ascii="宋体" w:hAnsi="宋体" w:cs="宋体"/>
                <w:sz w:val="22"/>
                <w:szCs w:val="22"/>
                <w:highlight w:val="none"/>
                <w:lang w:eastAsia="zh-CN"/>
              </w:rPr>
              <w:t>支付违约金</w:t>
            </w:r>
            <w:r>
              <w:rPr>
                <w:rFonts w:hint="eastAsia" w:ascii="宋体" w:hAnsi="宋体" w:eastAsia="宋体" w:cs="宋体"/>
                <w:sz w:val="22"/>
                <w:szCs w:val="22"/>
                <w:highlight w:val="none"/>
              </w:rPr>
              <w:t>500元。</w:t>
            </w:r>
          </w:p>
        </w:tc>
      </w:tr>
      <w:tr w14:paraId="5859EB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50" w:type="pct"/>
            <w:tcBorders>
              <w:top w:val="single" w:color="000000" w:sz="4" w:space="0"/>
              <w:left w:val="single" w:color="000000" w:sz="4" w:space="0"/>
              <w:bottom w:val="single" w:color="000000" w:sz="4" w:space="0"/>
              <w:right w:val="single" w:color="000000" w:sz="4" w:space="0"/>
            </w:tcBorders>
            <w:noWrap w:val="0"/>
            <w:vAlign w:val="center"/>
          </w:tcPr>
          <w:p w14:paraId="3E336BEB">
            <w:pPr>
              <w:spacing w:line="300" w:lineRule="exact"/>
              <w:ind w:firstLine="0" w:firstLineChars="0"/>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2</w:t>
            </w:r>
          </w:p>
        </w:tc>
        <w:tc>
          <w:tcPr>
            <w:tcW w:w="1570" w:type="pct"/>
            <w:tcBorders>
              <w:top w:val="single" w:color="000000" w:sz="4" w:space="0"/>
              <w:left w:val="single" w:color="000000" w:sz="4" w:space="0"/>
              <w:bottom w:val="single" w:color="000000" w:sz="4" w:space="0"/>
              <w:right w:val="single" w:color="000000" w:sz="4" w:space="0"/>
            </w:tcBorders>
            <w:noWrap w:val="0"/>
            <w:vAlign w:val="center"/>
          </w:tcPr>
          <w:p w14:paraId="29EA1AB5">
            <w:pPr>
              <w:spacing w:line="300" w:lineRule="exact"/>
              <w:ind w:firstLine="0" w:firstLineChars="0"/>
              <w:rPr>
                <w:rFonts w:hint="eastAsia" w:ascii="宋体" w:hAnsi="宋体" w:eastAsia="宋体" w:cs="宋体"/>
                <w:sz w:val="22"/>
                <w:szCs w:val="22"/>
                <w:highlight w:val="none"/>
              </w:rPr>
            </w:pPr>
            <w:r>
              <w:rPr>
                <w:rFonts w:hint="eastAsia" w:ascii="宋体" w:hAnsi="宋体" w:eastAsia="宋体" w:cs="宋体"/>
                <w:sz w:val="22"/>
                <w:szCs w:val="22"/>
                <w:highlight w:val="none"/>
              </w:rPr>
              <w:t>每个</w:t>
            </w:r>
            <w:r>
              <w:rPr>
                <w:rFonts w:hint="default" w:ascii="宋体" w:hAnsi="宋体" w:cs="宋体"/>
                <w:sz w:val="22"/>
                <w:szCs w:val="22"/>
                <w:highlight w:val="none"/>
              </w:rPr>
              <w:t>季度</w:t>
            </w:r>
            <w:r>
              <w:rPr>
                <w:rFonts w:hint="eastAsia" w:ascii="宋体" w:hAnsi="宋体" w:eastAsia="宋体" w:cs="宋体"/>
                <w:sz w:val="22"/>
                <w:szCs w:val="22"/>
                <w:highlight w:val="none"/>
              </w:rPr>
              <w:t>对食堂服务人员所提供食堂菜品、食品卫生、服务态度等进行问卷调查。</w:t>
            </w:r>
          </w:p>
        </w:tc>
        <w:tc>
          <w:tcPr>
            <w:tcW w:w="730" w:type="pct"/>
            <w:tcBorders>
              <w:top w:val="single" w:color="000000" w:sz="4" w:space="0"/>
              <w:left w:val="single" w:color="000000" w:sz="4" w:space="0"/>
              <w:bottom w:val="single" w:color="000000" w:sz="4" w:space="0"/>
              <w:right w:val="single" w:color="000000" w:sz="4" w:space="0"/>
            </w:tcBorders>
            <w:noWrap w:val="0"/>
            <w:vAlign w:val="center"/>
          </w:tcPr>
          <w:p w14:paraId="0C96F980">
            <w:pPr>
              <w:spacing w:line="300" w:lineRule="exact"/>
              <w:ind w:firstLine="0" w:firstLineChars="0"/>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满意</w:t>
            </w:r>
          </w:p>
        </w:tc>
        <w:tc>
          <w:tcPr>
            <w:tcW w:w="2249" w:type="pct"/>
            <w:tcBorders>
              <w:top w:val="single" w:color="000000" w:sz="4" w:space="0"/>
              <w:left w:val="single" w:color="000000" w:sz="4" w:space="0"/>
              <w:bottom w:val="single" w:color="000000" w:sz="4" w:space="0"/>
              <w:right w:val="single" w:color="000000" w:sz="4" w:space="0"/>
            </w:tcBorders>
            <w:noWrap w:val="0"/>
            <w:vAlign w:val="center"/>
          </w:tcPr>
          <w:p w14:paraId="675938E2">
            <w:pPr>
              <w:spacing w:line="300" w:lineRule="exact"/>
              <w:ind w:firstLine="0" w:firstLineChars="0"/>
              <w:rPr>
                <w:rFonts w:hint="eastAsia" w:ascii="宋体" w:hAnsi="宋体" w:eastAsia="宋体" w:cs="宋体"/>
                <w:sz w:val="22"/>
                <w:szCs w:val="22"/>
                <w:highlight w:val="none"/>
              </w:rPr>
            </w:pPr>
            <w:r>
              <w:rPr>
                <w:rFonts w:hint="eastAsia" w:ascii="宋体" w:hAnsi="宋体" w:eastAsia="宋体" w:cs="宋体"/>
                <w:sz w:val="22"/>
                <w:szCs w:val="22"/>
                <w:highlight w:val="none"/>
              </w:rPr>
              <w:t>全体就餐员工满意度得分低于80分的，责令整改并</w:t>
            </w:r>
            <w:r>
              <w:rPr>
                <w:rFonts w:hint="eastAsia" w:ascii="宋体" w:hAnsi="宋体" w:cs="宋体"/>
                <w:sz w:val="22"/>
                <w:szCs w:val="22"/>
                <w:highlight w:val="none"/>
                <w:lang w:eastAsia="zh-CN"/>
              </w:rPr>
              <w:t>支付违约金</w:t>
            </w:r>
            <w:r>
              <w:rPr>
                <w:rFonts w:hint="default" w:ascii="宋体" w:hAnsi="宋体" w:cs="宋体"/>
                <w:sz w:val="22"/>
                <w:szCs w:val="22"/>
                <w:highlight w:val="none"/>
              </w:rPr>
              <w:t>3</w:t>
            </w:r>
            <w:r>
              <w:rPr>
                <w:rFonts w:hint="eastAsia" w:ascii="宋体" w:hAnsi="宋体" w:eastAsia="宋体" w:cs="宋体"/>
                <w:sz w:val="22"/>
                <w:szCs w:val="22"/>
                <w:highlight w:val="none"/>
              </w:rPr>
              <w:t>000元；如整改措施不力，连续两个月满意度得分低于80分的，采购人有权解除合同并</w:t>
            </w:r>
            <w:r>
              <w:rPr>
                <w:rFonts w:hint="eastAsia" w:ascii="宋体" w:hAnsi="宋体" w:cs="宋体"/>
                <w:sz w:val="22"/>
                <w:szCs w:val="22"/>
                <w:highlight w:val="none"/>
                <w:lang w:eastAsia="zh-CN"/>
              </w:rPr>
              <w:t>有权就乙方提供的银行保函主张索赔</w:t>
            </w:r>
            <w:r>
              <w:rPr>
                <w:rFonts w:hint="eastAsia" w:ascii="宋体" w:hAnsi="宋体" w:eastAsia="宋体" w:cs="宋体"/>
                <w:sz w:val="22"/>
                <w:szCs w:val="22"/>
                <w:highlight w:val="none"/>
              </w:rPr>
              <w:t>。</w:t>
            </w:r>
          </w:p>
        </w:tc>
      </w:tr>
      <w:tr w14:paraId="4AD20D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50" w:type="pct"/>
            <w:tcBorders>
              <w:top w:val="single" w:color="000000" w:sz="4" w:space="0"/>
              <w:left w:val="single" w:color="000000" w:sz="4" w:space="0"/>
              <w:bottom w:val="single" w:color="000000" w:sz="4" w:space="0"/>
              <w:right w:val="single" w:color="000000" w:sz="4" w:space="0"/>
            </w:tcBorders>
            <w:noWrap w:val="0"/>
            <w:vAlign w:val="center"/>
          </w:tcPr>
          <w:p w14:paraId="40085D0C">
            <w:pPr>
              <w:spacing w:line="300" w:lineRule="exact"/>
              <w:ind w:firstLine="0" w:firstLineChars="0"/>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3</w:t>
            </w:r>
          </w:p>
        </w:tc>
        <w:tc>
          <w:tcPr>
            <w:tcW w:w="1570" w:type="pct"/>
            <w:tcBorders>
              <w:top w:val="single" w:color="000000" w:sz="4" w:space="0"/>
              <w:left w:val="single" w:color="000000" w:sz="4" w:space="0"/>
              <w:bottom w:val="single" w:color="000000" w:sz="4" w:space="0"/>
              <w:right w:val="single" w:color="000000" w:sz="4" w:space="0"/>
            </w:tcBorders>
            <w:noWrap w:val="0"/>
            <w:vAlign w:val="center"/>
          </w:tcPr>
          <w:p w14:paraId="21C750BD">
            <w:pPr>
              <w:spacing w:line="300" w:lineRule="exact"/>
              <w:ind w:firstLine="0" w:firstLineChars="0"/>
              <w:rPr>
                <w:rFonts w:hint="eastAsia" w:ascii="宋体" w:hAnsi="宋体" w:eastAsia="宋体" w:cs="宋体"/>
                <w:sz w:val="22"/>
                <w:szCs w:val="22"/>
                <w:highlight w:val="none"/>
              </w:rPr>
            </w:pPr>
            <w:r>
              <w:rPr>
                <w:rFonts w:hint="eastAsia" w:ascii="宋体" w:hAnsi="宋体" w:eastAsia="宋体" w:cs="宋体"/>
                <w:sz w:val="22"/>
                <w:szCs w:val="22"/>
                <w:highlight w:val="none"/>
              </w:rPr>
              <w:t>服务人员是否做好48小时每餐每样的食品留样工作。</w:t>
            </w:r>
          </w:p>
        </w:tc>
        <w:tc>
          <w:tcPr>
            <w:tcW w:w="730" w:type="pct"/>
            <w:tcBorders>
              <w:top w:val="single" w:color="000000" w:sz="4" w:space="0"/>
              <w:left w:val="single" w:color="000000" w:sz="4" w:space="0"/>
              <w:bottom w:val="single" w:color="000000" w:sz="4" w:space="0"/>
              <w:right w:val="single" w:color="000000" w:sz="4" w:space="0"/>
            </w:tcBorders>
            <w:noWrap w:val="0"/>
            <w:vAlign w:val="center"/>
          </w:tcPr>
          <w:p w14:paraId="19F64C06">
            <w:pPr>
              <w:spacing w:line="300" w:lineRule="exact"/>
              <w:ind w:firstLine="0" w:firstLineChars="0"/>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合格</w:t>
            </w:r>
          </w:p>
        </w:tc>
        <w:tc>
          <w:tcPr>
            <w:tcW w:w="2249" w:type="pct"/>
            <w:tcBorders>
              <w:top w:val="single" w:color="000000" w:sz="4" w:space="0"/>
              <w:left w:val="single" w:color="000000" w:sz="4" w:space="0"/>
              <w:bottom w:val="single" w:color="000000" w:sz="4" w:space="0"/>
              <w:right w:val="single" w:color="000000" w:sz="4" w:space="0"/>
            </w:tcBorders>
            <w:noWrap w:val="0"/>
            <w:vAlign w:val="center"/>
          </w:tcPr>
          <w:p w14:paraId="75E15643">
            <w:pPr>
              <w:spacing w:line="300" w:lineRule="exact"/>
              <w:ind w:firstLine="0" w:firstLineChars="0"/>
              <w:rPr>
                <w:rFonts w:hint="eastAsia" w:ascii="宋体" w:hAnsi="宋体" w:eastAsia="宋体" w:cs="宋体"/>
                <w:sz w:val="22"/>
                <w:szCs w:val="22"/>
                <w:highlight w:val="none"/>
              </w:rPr>
            </w:pPr>
            <w:r>
              <w:rPr>
                <w:rFonts w:hint="eastAsia" w:ascii="宋体" w:hAnsi="宋体" w:eastAsia="宋体" w:cs="宋体"/>
                <w:sz w:val="22"/>
                <w:szCs w:val="22"/>
                <w:highlight w:val="none"/>
              </w:rPr>
              <w:t>检查一次未留样，</w:t>
            </w:r>
            <w:r>
              <w:rPr>
                <w:rFonts w:hint="eastAsia" w:ascii="宋体" w:hAnsi="宋体" w:cs="宋体"/>
                <w:sz w:val="22"/>
                <w:szCs w:val="22"/>
                <w:highlight w:val="none"/>
                <w:lang w:eastAsia="zh-CN"/>
              </w:rPr>
              <w:t>支付违约金</w:t>
            </w:r>
            <w:r>
              <w:rPr>
                <w:rFonts w:hint="eastAsia" w:ascii="宋体" w:hAnsi="宋体" w:eastAsia="宋体" w:cs="宋体"/>
                <w:sz w:val="22"/>
                <w:szCs w:val="22"/>
                <w:highlight w:val="none"/>
              </w:rPr>
              <w:t>500元。</w:t>
            </w:r>
          </w:p>
        </w:tc>
      </w:tr>
      <w:tr w14:paraId="21935E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50" w:type="pct"/>
            <w:tcBorders>
              <w:top w:val="single" w:color="000000" w:sz="4" w:space="0"/>
              <w:left w:val="single" w:color="000000" w:sz="4" w:space="0"/>
              <w:bottom w:val="single" w:color="000000" w:sz="4" w:space="0"/>
              <w:right w:val="single" w:color="000000" w:sz="4" w:space="0"/>
            </w:tcBorders>
            <w:noWrap w:val="0"/>
            <w:vAlign w:val="center"/>
          </w:tcPr>
          <w:p w14:paraId="236CAC6D">
            <w:pPr>
              <w:spacing w:line="300" w:lineRule="exact"/>
              <w:ind w:firstLine="0" w:firstLineChars="0"/>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4</w:t>
            </w:r>
          </w:p>
        </w:tc>
        <w:tc>
          <w:tcPr>
            <w:tcW w:w="1570" w:type="pct"/>
            <w:tcBorders>
              <w:top w:val="single" w:color="000000" w:sz="4" w:space="0"/>
              <w:left w:val="single" w:color="000000" w:sz="4" w:space="0"/>
              <w:bottom w:val="single" w:color="000000" w:sz="4" w:space="0"/>
              <w:right w:val="single" w:color="000000" w:sz="4" w:space="0"/>
            </w:tcBorders>
            <w:noWrap w:val="0"/>
            <w:vAlign w:val="center"/>
          </w:tcPr>
          <w:p w14:paraId="3E853AD4">
            <w:pPr>
              <w:spacing w:line="300" w:lineRule="exact"/>
              <w:ind w:firstLine="0" w:firstLineChars="0"/>
              <w:rPr>
                <w:rFonts w:hint="eastAsia" w:ascii="宋体" w:hAnsi="宋体" w:eastAsia="宋体" w:cs="宋体"/>
                <w:sz w:val="22"/>
                <w:szCs w:val="22"/>
                <w:highlight w:val="none"/>
              </w:rPr>
            </w:pPr>
            <w:r>
              <w:rPr>
                <w:rFonts w:hint="eastAsia" w:ascii="宋体" w:hAnsi="宋体" w:eastAsia="宋体" w:cs="宋体"/>
                <w:sz w:val="22"/>
                <w:szCs w:val="22"/>
                <w:highlight w:val="none"/>
              </w:rPr>
              <w:t>服务人员当天是否按规定时间清理餐厨垃圾。</w:t>
            </w:r>
          </w:p>
        </w:tc>
        <w:tc>
          <w:tcPr>
            <w:tcW w:w="730" w:type="pct"/>
            <w:tcBorders>
              <w:top w:val="single" w:color="000000" w:sz="4" w:space="0"/>
              <w:left w:val="single" w:color="000000" w:sz="4" w:space="0"/>
              <w:bottom w:val="single" w:color="000000" w:sz="4" w:space="0"/>
              <w:right w:val="single" w:color="000000" w:sz="4" w:space="0"/>
            </w:tcBorders>
            <w:noWrap w:val="0"/>
            <w:vAlign w:val="center"/>
          </w:tcPr>
          <w:p w14:paraId="28AC231E">
            <w:pPr>
              <w:spacing w:line="300" w:lineRule="exact"/>
              <w:ind w:firstLine="0" w:firstLineChars="0"/>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合格</w:t>
            </w:r>
          </w:p>
        </w:tc>
        <w:tc>
          <w:tcPr>
            <w:tcW w:w="2249" w:type="pct"/>
            <w:tcBorders>
              <w:top w:val="single" w:color="000000" w:sz="4" w:space="0"/>
              <w:left w:val="single" w:color="000000" w:sz="4" w:space="0"/>
              <w:bottom w:val="single" w:color="000000" w:sz="4" w:space="0"/>
              <w:right w:val="single" w:color="000000" w:sz="4" w:space="0"/>
            </w:tcBorders>
            <w:noWrap w:val="0"/>
            <w:vAlign w:val="center"/>
          </w:tcPr>
          <w:p w14:paraId="47707159">
            <w:pPr>
              <w:spacing w:line="300" w:lineRule="exact"/>
              <w:ind w:firstLine="0" w:firstLineChars="0"/>
              <w:rPr>
                <w:rFonts w:hint="eastAsia" w:ascii="宋体" w:hAnsi="宋体" w:eastAsia="宋体" w:cs="宋体"/>
                <w:sz w:val="22"/>
                <w:szCs w:val="22"/>
                <w:highlight w:val="none"/>
              </w:rPr>
            </w:pPr>
            <w:r>
              <w:rPr>
                <w:rFonts w:hint="eastAsia" w:ascii="宋体" w:hAnsi="宋体" w:eastAsia="宋体" w:cs="宋体"/>
                <w:sz w:val="22"/>
                <w:szCs w:val="22"/>
                <w:highlight w:val="none"/>
              </w:rPr>
              <w:t>检查一次未及时清理，</w:t>
            </w:r>
            <w:r>
              <w:rPr>
                <w:rFonts w:hint="eastAsia" w:ascii="宋体" w:hAnsi="宋体" w:cs="宋体"/>
                <w:sz w:val="22"/>
                <w:szCs w:val="22"/>
                <w:highlight w:val="none"/>
                <w:lang w:eastAsia="zh-CN"/>
              </w:rPr>
              <w:t>支付违约金</w:t>
            </w:r>
            <w:r>
              <w:rPr>
                <w:rFonts w:hint="eastAsia" w:ascii="宋体" w:hAnsi="宋体" w:eastAsia="宋体" w:cs="宋体"/>
                <w:sz w:val="22"/>
                <w:szCs w:val="22"/>
                <w:highlight w:val="none"/>
              </w:rPr>
              <w:t>500元。</w:t>
            </w:r>
          </w:p>
        </w:tc>
      </w:tr>
      <w:tr w14:paraId="34A314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50" w:type="pct"/>
            <w:tcBorders>
              <w:top w:val="single" w:color="000000" w:sz="4" w:space="0"/>
              <w:left w:val="single" w:color="000000" w:sz="4" w:space="0"/>
              <w:bottom w:val="single" w:color="000000" w:sz="4" w:space="0"/>
              <w:right w:val="single" w:color="000000" w:sz="4" w:space="0"/>
            </w:tcBorders>
            <w:noWrap w:val="0"/>
            <w:vAlign w:val="center"/>
          </w:tcPr>
          <w:p w14:paraId="29D48E09">
            <w:pPr>
              <w:spacing w:line="300" w:lineRule="exact"/>
              <w:ind w:firstLine="0" w:firstLineChars="0"/>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5</w:t>
            </w:r>
          </w:p>
        </w:tc>
        <w:tc>
          <w:tcPr>
            <w:tcW w:w="1570" w:type="pct"/>
            <w:tcBorders>
              <w:top w:val="single" w:color="000000" w:sz="4" w:space="0"/>
              <w:left w:val="single" w:color="000000" w:sz="4" w:space="0"/>
              <w:bottom w:val="single" w:color="000000" w:sz="4" w:space="0"/>
              <w:right w:val="single" w:color="000000" w:sz="4" w:space="0"/>
            </w:tcBorders>
            <w:noWrap w:val="0"/>
            <w:vAlign w:val="center"/>
          </w:tcPr>
          <w:p w14:paraId="263AF903">
            <w:pPr>
              <w:spacing w:line="300" w:lineRule="exact"/>
              <w:ind w:firstLine="0" w:firstLineChars="0"/>
              <w:rPr>
                <w:rFonts w:hint="eastAsia" w:ascii="宋体" w:hAnsi="宋体" w:eastAsia="宋体" w:cs="宋体"/>
                <w:sz w:val="22"/>
                <w:szCs w:val="22"/>
                <w:highlight w:val="none"/>
              </w:rPr>
            </w:pPr>
            <w:r>
              <w:rPr>
                <w:rFonts w:hint="eastAsia" w:ascii="宋体" w:hAnsi="宋体" w:eastAsia="宋体" w:cs="宋体"/>
                <w:sz w:val="22"/>
                <w:szCs w:val="22"/>
                <w:highlight w:val="none"/>
              </w:rPr>
              <w:t>服务人员是否保质保量完成活动用餐。</w:t>
            </w:r>
          </w:p>
        </w:tc>
        <w:tc>
          <w:tcPr>
            <w:tcW w:w="730" w:type="pct"/>
            <w:tcBorders>
              <w:top w:val="single" w:color="000000" w:sz="4" w:space="0"/>
              <w:left w:val="single" w:color="000000" w:sz="4" w:space="0"/>
              <w:bottom w:val="single" w:color="000000" w:sz="4" w:space="0"/>
              <w:right w:val="single" w:color="000000" w:sz="4" w:space="0"/>
            </w:tcBorders>
            <w:noWrap w:val="0"/>
            <w:vAlign w:val="center"/>
          </w:tcPr>
          <w:p w14:paraId="501F186C">
            <w:pPr>
              <w:spacing w:line="300" w:lineRule="exact"/>
              <w:ind w:firstLine="0" w:firstLineChars="0"/>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合格</w:t>
            </w:r>
          </w:p>
        </w:tc>
        <w:tc>
          <w:tcPr>
            <w:tcW w:w="2249" w:type="pct"/>
            <w:tcBorders>
              <w:top w:val="single" w:color="000000" w:sz="4" w:space="0"/>
              <w:left w:val="single" w:color="000000" w:sz="4" w:space="0"/>
              <w:bottom w:val="single" w:color="000000" w:sz="4" w:space="0"/>
              <w:right w:val="single" w:color="000000" w:sz="4" w:space="0"/>
            </w:tcBorders>
            <w:noWrap w:val="0"/>
            <w:vAlign w:val="center"/>
          </w:tcPr>
          <w:p w14:paraId="4EACA0EC">
            <w:pPr>
              <w:spacing w:line="300" w:lineRule="exact"/>
              <w:ind w:firstLine="0" w:firstLineChars="0"/>
              <w:rPr>
                <w:rFonts w:hint="eastAsia" w:ascii="宋体" w:hAnsi="宋体" w:eastAsia="宋体" w:cs="宋体"/>
                <w:sz w:val="22"/>
                <w:szCs w:val="22"/>
                <w:highlight w:val="none"/>
              </w:rPr>
            </w:pPr>
            <w:r>
              <w:rPr>
                <w:rFonts w:hint="eastAsia" w:ascii="宋体" w:hAnsi="宋体" w:eastAsia="宋体" w:cs="宋体"/>
                <w:sz w:val="22"/>
                <w:szCs w:val="22"/>
                <w:highlight w:val="none"/>
              </w:rPr>
              <w:t>一次未按质量完成，</w:t>
            </w:r>
            <w:r>
              <w:rPr>
                <w:rFonts w:hint="eastAsia" w:ascii="宋体" w:hAnsi="宋体" w:cs="宋体"/>
                <w:sz w:val="22"/>
                <w:szCs w:val="22"/>
                <w:highlight w:val="none"/>
                <w:lang w:eastAsia="zh-CN"/>
              </w:rPr>
              <w:t>支付违约金</w:t>
            </w:r>
            <w:r>
              <w:rPr>
                <w:rFonts w:hint="eastAsia" w:ascii="宋体" w:hAnsi="宋体" w:eastAsia="宋体" w:cs="宋体"/>
                <w:sz w:val="22"/>
                <w:szCs w:val="22"/>
                <w:highlight w:val="none"/>
              </w:rPr>
              <w:t>500元。</w:t>
            </w:r>
          </w:p>
        </w:tc>
      </w:tr>
      <w:tr w14:paraId="2FD756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50" w:type="pct"/>
            <w:tcBorders>
              <w:top w:val="single" w:color="000000" w:sz="4" w:space="0"/>
              <w:left w:val="single" w:color="000000" w:sz="4" w:space="0"/>
              <w:bottom w:val="single" w:color="000000" w:sz="4" w:space="0"/>
              <w:right w:val="single" w:color="000000" w:sz="4" w:space="0"/>
            </w:tcBorders>
            <w:noWrap w:val="0"/>
            <w:vAlign w:val="center"/>
          </w:tcPr>
          <w:p w14:paraId="553611A4">
            <w:pPr>
              <w:spacing w:line="300" w:lineRule="exact"/>
              <w:ind w:firstLine="0" w:firstLineChars="0"/>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6</w:t>
            </w:r>
          </w:p>
        </w:tc>
        <w:tc>
          <w:tcPr>
            <w:tcW w:w="1570" w:type="pct"/>
            <w:tcBorders>
              <w:top w:val="single" w:color="000000" w:sz="4" w:space="0"/>
              <w:left w:val="single" w:color="000000" w:sz="4" w:space="0"/>
              <w:bottom w:val="single" w:color="000000" w:sz="4" w:space="0"/>
              <w:right w:val="single" w:color="000000" w:sz="4" w:space="0"/>
            </w:tcBorders>
            <w:noWrap w:val="0"/>
            <w:vAlign w:val="center"/>
          </w:tcPr>
          <w:p w14:paraId="41398C54">
            <w:pPr>
              <w:spacing w:line="300" w:lineRule="exact"/>
              <w:ind w:firstLine="0" w:firstLineChars="0"/>
              <w:rPr>
                <w:rFonts w:hint="eastAsia" w:ascii="宋体" w:hAnsi="宋体" w:eastAsia="宋体" w:cs="宋体"/>
                <w:sz w:val="22"/>
                <w:szCs w:val="22"/>
                <w:highlight w:val="none"/>
              </w:rPr>
            </w:pPr>
            <w:r>
              <w:rPr>
                <w:rFonts w:hint="eastAsia" w:ascii="宋体" w:hAnsi="宋体" w:eastAsia="宋体" w:cs="宋体"/>
                <w:sz w:val="22"/>
                <w:szCs w:val="22"/>
                <w:highlight w:val="none"/>
              </w:rPr>
              <w:t>原材料及生、熟食品必须分开存放。</w:t>
            </w:r>
          </w:p>
        </w:tc>
        <w:tc>
          <w:tcPr>
            <w:tcW w:w="730" w:type="pct"/>
            <w:tcBorders>
              <w:top w:val="single" w:color="000000" w:sz="4" w:space="0"/>
              <w:left w:val="single" w:color="000000" w:sz="4" w:space="0"/>
              <w:bottom w:val="single" w:color="000000" w:sz="4" w:space="0"/>
              <w:right w:val="single" w:color="000000" w:sz="4" w:space="0"/>
            </w:tcBorders>
            <w:noWrap w:val="0"/>
            <w:vAlign w:val="center"/>
          </w:tcPr>
          <w:p w14:paraId="46539F65">
            <w:pPr>
              <w:spacing w:line="300" w:lineRule="exact"/>
              <w:ind w:firstLine="0" w:firstLineChars="0"/>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合格</w:t>
            </w:r>
          </w:p>
        </w:tc>
        <w:tc>
          <w:tcPr>
            <w:tcW w:w="2249" w:type="pct"/>
            <w:tcBorders>
              <w:top w:val="single" w:color="000000" w:sz="4" w:space="0"/>
              <w:left w:val="single" w:color="000000" w:sz="4" w:space="0"/>
              <w:bottom w:val="single" w:color="000000" w:sz="4" w:space="0"/>
              <w:right w:val="single" w:color="000000" w:sz="4" w:space="0"/>
            </w:tcBorders>
            <w:noWrap w:val="0"/>
            <w:vAlign w:val="center"/>
          </w:tcPr>
          <w:p w14:paraId="5DB5A638">
            <w:pPr>
              <w:spacing w:line="300" w:lineRule="exact"/>
              <w:ind w:firstLine="0" w:firstLineChars="0"/>
              <w:rPr>
                <w:rFonts w:hint="eastAsia" w:ascii="宋体" w:hAnsi="宋体" w:eastAsia="宋体" w:cs="宋体"/>
                <w:sz w:val="22"/>
                <w:szCs w:val="22"/>
                <w:highlight w:val="none"/>
              </w:rPr>
            </w:pPr>
            <w:r>
              <w:rPr>
                <w:rFonts w:hint="eastAsia" w:ascii="宋体" w:hAnsi="宋体" w:eastAsia="宋体" w:cs="宋体"/>
                <w:sz w:val="22"/>
                <w:szCs w:val="22"/>
                <w:highlight w:val="none"/>
              </w:rPr>
              <w:t>检查一次食品或原材料未按要求存放，</w:t>
            </w:r>
            <w:r>
              <w:rPr>
                <w:rFonts w:hint="eastAsia" w:ascii="宋体" w:hAnsi="宋体" w:cs="宋体"/>
                <w:sz w:val="22"/>
                <w:szCs w:val="22"/>
                <w:highlight w:val="none"/>
                <w:lang w:eastAsia="zh-CN"/>
              </w:rPr>
              <w:t>支付违约金</w:t>
            </w:r>
            <w:r>
              <w:rPr>
                <w:rFonts w:hint="eastAsia" w:ascii="宋体" w:hAnsi="宋体" w:eastAsia="宋体" w:cs="宋体"/>
                <w:sz w:val="22"/>
                <w:szCs w:val="22"/>
                <w:highlight w:val="none"/>
              </w:rPr>
              <w:t>500元。</w:t>
            </w:r>
          </w:p>
        </w:tc>
      </w:tr>
      <w:tr w14:paraId="39AE78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50" w:type="pct"/>
            <w:tcBorders>
              <w:top w:val="single" w:color="000000" w:sz="4" w:space="0"/>
              <w:left w:val="single" w:color="000000" w:sz="4" w:space="0"/>
              <w:bottom w:val="single" w:color="000000" w:sz="4" w:space="0"/>
              <w:right w:val="single" w:color="000000" w:sz="4" w:space="0"/>
            </w:tcBorders>
            <w:noWrap w:val="0"/>
            <w:vAlign w:val="center"/>
          </w:tcPr>
          <w:p w14:paraId="5511AEA2">
            <w:pPr>
              <w:spacing w:line="300" w:lineRule="exact"/>
              <w:ind w:firstLine="0" w:firstLineChars="0"/>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7</w:t>
            </w:r>
          </w:p>
        </w:tc>
        <w:tc>
          <w:tcPr>
            <w:tcW w:w="1570" w:type="pct"/>
            <w:tcBorders>
              <w:top w:val="single" w:color="000000" w:sz="4" w:space="0"/>
              <w:left w:val="single" w:color="000000" w:sz="4" w:space="0"/>
              <w:bottom w:val="single" w:color="000000" w:sz="4" w:space="0"/>
              <w:right w:val="single" w:color="000000" w:sz="4" w:space="0"/>
            </w:tcBorders>
            <w:noWrap w:val="0"/>
            <w:vAlign w:val="center"/>
          </w:tcPr>
          <w:p w14:paraId="69809827">
            <w:pPr>
              <w:spacing w:line="300" w:lineRule="exact"/>
              <w:ind w:firstLine="0" w:firstLineChars="0"/>
              <w:rPr>
                <w:rFonts w:hint="eastAsia" w:ascii="宋体" w:hAnsi="宋体" w:eastAsia="宋体" w:cs="宋体"/>
                <w:sz w:val="22"/>
                <w:szCs w:val="22"/>
                <w:highlight w:val="none"/>
              </w:rPr>
            </w:pPr>
            <w:r>
              <w:rPr>
                <w:rFonts w:hint="eastAsia" w:ascii="宋体" w:hAnsi="宋体" w:eastAsia="宋体" w:cs="宋体"/>
                <w:sz w:val="22"/>
                <w:szCs w:val="22"/>
                <w:highlight w:val="none"/>
              </w:rPr>
              <w:t>服务人员定期对隔油池和抽油烟机进行清理。</w:t>
            </w:r>
          </w:p>
        </w:tc>
        <w:tc>
          <w:tcPr>
            <w:tcW w:w="730" w:type="pct"/>
            <w:tcBorders>
              <w:top w:val="single" w:color="000000" w:sz="4" w:space="0"/>
              <w:left w:val="single" w:color="000000" w:sz="4" w:space="0"/>
              <w:bottom w:val="single" w:color="000000" w:sz="4" w:space="0"/>
              <w:right w:val="single" w:color="000000" w:sz="4" w:space="0"/>
            </w:tcBorders>
            <w:noWrap w:val="0"/>
            <w:vAlign w:val="center"/>
          </w:tcPr>
          <w:p w14:paraId="258427B4">
            <w:pPr>
              <w:spacing w:line="300" w:lineRule="exact"/>
              <w:ind w:firstLine="0" w:firstLineChars="0"/>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合格</w:t>
            </w:r>
          </w:p>
        </w:tc>
        <w:tc>
          <w:tcPr>
            <w:tcW w:w="2249" w:type="pct"/>
            <w:tcBorders>
              <w:top w:val="single" w:color="000000" w:sz="4" w:space="0"/>
              <w:left w:val="single" w:color="000000" w:sz="4" w:space="0"/>
              <w:bottom w:val="single" w:color="000000" w:sz="4" w:space="0"/>
              <w:right w:val="single" w:color="000000" w:sz="4" w:space="0"/>
            </w:tcBorders>
            <w:noWrap w:val="0"/>
            <w:vAlign w:val="center"/>
          </w:tcPr>
          <w:p w14:paraId="078D165C">
            <w:pPr>
              <w:spacing w:line="300" w:lineRule="exact"/>
              <w:ind w:firstLine="0" w:firstLineChars="0"/>
              <w:rPr>
                <w:rFonts w:hint="eastAsia" w:ascii="宋体" w:hAnsi="宋体" w:eastAsia="宋体" w:cs="宋体"/>
                <w:sz w:val="22"/>
                <w:szCs w:val="22"/>
                <w:highlight w:val="none"/>
              </w:rPr>
            </w:pPr>
            <w:r>
              <w:rPr>
                <w:rFonts w:hint="eastAsia" w:ascii="宋体" w:hAnsi="宋体" w:eastAsia="宋体" w:cs="宋体"/>
                <w:sz w:val="22"/>
                <w:szCs w:val="22"/>
                <w:highlight w:val="none"/>
              </w:rPr>
              <w:t>检查一次未清理，</w:t>
            </w:r>
            <w:r>
              <w:rPr>
                <w:rFonts w:hint="eastAsia" w:ascii="宋体" w:hAnsi="宋体" w:cs="宋体"/>
                <w:sz w:val="22"/>
                <w:szCs w:val="22"/>
                <w:highlight w:val="none"/>
                <w:lang w:eastAsia="zh-CN"/>
              </w:rPr>
              <w:t>支付违约金</w:t>
            </w:r>
            <w:r>
              <w:rPr>
                <w:rFonts w:hint="eastAsia" w:ascii="宋体" w:hAnsi="宋体" w:eastAsia="宋体" w:cs="宋体"/>
                <w:sz w:val="22"/>
                <w:szCs w:val="22"/>
                <w:highlight w:val="none"/>
              </w:rPr>
              <w:t>500元。</w:t>
            </w:r>
          </w:p>
        </w:tc>
      </w:tr>
      <w:tr w14:paraId="3E0DB4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0" w:type="pct"/>
            <w:tcBorders>
              <w:top w:val="single" w:color="000000" w:sz="4" w:space="0"/>
              <w:left w:val="single" w:color="000000" w:sz="4" w:space="0"/>
              <w:bottom w:val="single" w:color="000000" w:sz="4" w:space="0"/>
              <w:right w:val="single" w:color="000000" w:sz="4" w:space="0"/>
            </w:tcBorders>
            <w:noWrap w:val="0"/>
            <w:vAlign w:val="center"/>
          </w:tcPr>
          <w:p w14:paraId="6D1B4723">
            <w:pPr>
              <w:spacing w:line="300" w:lineRule="exact"/>
              <w:ind w:firstLine="0" w:firstLineChars="0"/>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8</w:t>
            </w:r>
          </w:p>
        </w:tc>
        <w:tc>
          <w:tcPr>
            <w:tcW w:w="1570" w:type="pct"/>
            <w:tcBorders>
              <w:top w:val="single" w:color="000000" w:sz="4" w:space="0"/>
              <w:left w:val="single" w:color="000000" w:sz="4" w:space="0"/>
              <w:bottom w:val="single" w:color="000000" w:sz="4" w:space="0"/>
              <w:right w:val="single" w:color="000000" w:sz="4" w:space="0"/>
            </w:tcBorders>
            <w:noWrap w:val="0"/>
            <w:vAlign w:val="center"/>
          </w:tcPr>
          <w:p w14:paraId="46AA27E4">
            <w:pPr>
              <w:spacing w:line="300" w:lineRule="exact"/>
              <w:ind w:firstLine="0" w:firstLineChars="0"/>
              <w:rPr>
                <w:rFonts w:hint="eastAsia" w:ascii="宋体" w:hAnsi="宋体" w:eastAsia="宋体" w:cs="宋体"/>
                <w:sz w:val="22"/>
                <w:szCs w:val="22"/>
                <w:highlight w:val="none"/>
              </w:rPr>
            </w:pPr>
            <w:r>
              <w:rPr>
                <w:rFonts w:hint="eastAsia" w:ascii="宋体" w:hAnsi="宋体" w:eastAsia="宋体" w:cs="宋体"/>
                <w:sz w:val="22"/>
                <w:szCs w:val="22"/>
                <w:highlight w:val="none"/>
              </w:rPr>
              <w:t>每餐做好台帐和动物检疫证登记接受采购人或上级领导组织的检查和监督。</w:t>
            </w:r>
          </w:p>
        </w:tc>
        <w:tc>
          <w:tcPr>
            <w:tcW w:w="730" w:type="pct"/>
            <w:tcBorders>
              <w:top w:val="single" w:color="000000" w:sz="4" w:space="0"/>
              <w:left w:val="single" w:color="000000" w:sz="4" w:space="0"/>
              <w:bottom w:val="single" w:color="000000" w:sz="4" w:space="0"/>
              <w:right w:val="single" w:color="000000" w:sz="4" w:space="0"/>
            </w:tcBorders>
            <w:noWrap w:val="0"/>
            <w:vAlign w:val="center"/>
          </w:tcPr>
          <w:p w14:paraId="1AA8E82B">
            <w:pPr>
              <w:spacing w:line="300" w:lineRule="exact"/>
              <w:ind w:firstLine="0" w:firstLineChars="0"/>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合格</w:t>
            </w:r>
          </w:p>
        </w:tc>
        <w:tc>
          <w:tcPr>
            <w:tcW w:w="2249" w:type="pct"/>
            <w:tcBorders>
              <w:top w:val="single" w:color="000000" w:sz="4" w:space="0"/>
              <w:left w:val="single" w:color="000000" w:sz="4" w:space="0"/>
              <w:bottom w:val="single" w:color="000000" w:sz="4" w:space="0"/>
              <w:right w:val="single" w:color="000000" w:sz="4" w:space="0"/>
            </w:tcBorders>
            <w:noWrap w:val="0"/>
            <w:vAlign w:val="center"/>
          </w:tcPr>
          <w:p w14:paraId="163EA2C7">
            <w:pPr>
              <w:spacing w:line="300" w:lineRule="exact"/>
              <w:ind w:firstLine="0" w:firstLineChars="0"/>
              <w:rPr>
                <w:rFonts w:hint="eastAsia" w:ascii="宋体" w:hAnsi="宋体" w:eastAsia="宋体" w:cs="宋体"/>
                <w:sz w:val="22"/>
                <w:szCs w:val="22"/>
                <w:highlight w:val="none"/>
              </w:rPr>
            </w:pPr>
            <w:r>
              <w:rPr>
                <w:rFonts w:hint="eastAsia" w:ascii="宋体" w:hAnsi="宋体" w:eastAsia="宋体" w:cs="宋体"/>
                <w:sz w:val="22"/>
                <w:szCs w:val="22"/>
                <w:highlight w:val="none"/>
              </w:rPr>
              <w:t>检查一项一次未合格，</w:t>
            </w:r>
            <w:r>
              <w:rPr>
                <w:rFonts w:hint="eastAsia" w:ascii="宋体" w:hAnsi="宋体" w:cs="宋体"/>
                <w:sz w:val="22"/>
                <w:szCs w:val="22"/>
                <w:highlight w:val="none"/>
                <w:lang w:eastAsia="zh-CN"/>
              </w:rPr>
              <w:t>支付违约金</w:t>
            </w:r>
            <w:r>
              <w:rPr>
                <w:rFonts w:hint="eastAsia" w:ascii="宋体" w:hAnsi="宋体" w:eastAsia="宋体" w:cs="宋体"/>
                <w:sz w:val="22"/>
                <w:szCs w:val="22"/>
                <w:highlight w:val="none"/>
              </w:rPr>
              <w:t>500元。</w:t>
            </w:r>
          </w:p>
        </w:tc>
      </w:tr>
      <w:tr w14:paraId="456731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50" w:type="pct"/>
            <w:tcBorders>
              <w:top w:val="single" w:color="000000" w:sz="4" w:space="0"/>
              <w:left w:val="single" w:color="000000" w:sz="4" w:space="0"/>
              <w:bottom w:val="single" w:color="000000" w:sz="4" w:space="0"/>
              <w:right w:val="single" w:color="000000" w:sz="4" w:space="0"/>
            </w:tcBorders>
            <w:noWrap w:val="0"/>
            <w:vAlign w:val="center"/>
          </w:tcPr>
          <w:p w14:paraId="38F6BBC9">
            <w:pPr>
              <w:spacing w:line="300" w:lineRule="exact"/>
              <w:ind w:firstLine="0" w:firstLineChars="0"/>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9</w:t>
            </w:r>
          </w:p>
        </w:tc>
        <w:tc>
          <w:tcPr>
            <w:tcW w:w="1570" w:type="pct"/>
            <w:tcBorders>
              <w:top w:val="single" w:color="000000" w:sz="4" w:space="0"/>
              <w:left w:val="single" w:color="000000" w:sz="4" w:space="0"/>
              <w:bottom w:val="single" w:color="000000" w:sz="4" w:space="0"/>
              <w:right w:val="single" w:color="000000" w:sz="4" w:space="0"/>
            </w:tcBorders>
            <w:noWrap w:val="0"/>
            <w:vAlign w:val="center"/>
          </w:tcPr>
          <w:p w14:paraId="1DAE19DA">
            <w:pPr>
              <w:spacing w:line="300" w:lineRule="exact"/>
              <w:ind w:firstLine="0" w:firstLineChars="0"/>
              <w:rPr>
                <w:rFonts w:hint="eastAsia" w:ascii="宋体" w:hAnsi="宋体" w:eastAsia="宋体" w:cs="宋体"/>
                <w:sz w:val="22"/>
                <w:szCs w:val="22"/>
                <w:highlight w:val="none"/>
              </w:rPr>
            </w:pPr>
            <w:r>
              <w:rPr>
                <w:rFonts w:hint="eastAsia" w:ascii="宋体" w:hAnsi="宋体" w:eastAsia="宋体" w:cs="宋体"/>
                <w:sz w:val="22"/>
                <w:szCs w:val="22"/>
                <w:highlight w:val="none"/>
              </w:rPr>
              <w:t>服务人员服务期间无食品安全事故。</w:t>
            </w:r>
          </w:p>
        </w:tc>
        <w:tc>
          <w:tcPr>
            <w:tcW w:w="730" w:type="pct"/>
            <w:tcBorders>
              <w:top w:val="single" w:color="000000" w:sz="4" w:space="0"/>
              <w:left w:val="single" w:color="000000" w:sz="4" w:space="0"/>
              <w:bottom w:val="single" w:color="000000" w:sz="4" w:space="0"/>
              <w:right w:val="single" w:color="000000" w:sz="4" w:space="0"/>
            </w:tcBorders>
            <w:noWrap w:val="0"/>
            <w:vAlign w:val="center"/>
          </w:tcPr>
          <w:p w14:paraId="2B80AE45">
            <w:pPr>
              <w:spacing w:line="300" w:lineRule="exact"/>
              <w:ind w:firstLine="0" w:firstLineChars="0"/>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合格</w:t>
            </w:r>
          </w:p>
        </w:tc>
        <w:tc>
          <w:tcPr>
            <w:tcW w:w="2249" w:type="pct"/>
            <w:tcBorders>
              <w:top w:val="single" w:color="000000" w:sz="4" w:space="0"/>
              <w:left w:val="single" w:color="000000" w:sz="4" w:space="0"/>
              <w:bottom w:val="single" w:color="000000" w:sz="4" w:space="0"/>
              <w:right w:val="single" w:color="000000" w:sz="4" w:space="0"/>
            </w:tcBorders>
            <w:noWrap w:val="0"/>
            <w:vAlign w:val="center"/>
          </w:tcPr>
          <w:p w14:paraId="2A70D3AE">
            <w:pPr>
              <w:spacing w:line="300" w:lineRule="exact"/>
              <w:ind w:firstLine="0" w:firstLineChars="0"/>
              <w:rPr>
                <w:rFonts w:hint="eastAsia" w:ascii="宋体" w:hAnsi="宋体" w:eastAsia="宋体" w:cs="宋体"/>
                <w:sz w:val="22"/>
                <w:szCs w:val="22"/>
                <w:highlight w:val="none"/>
              </w:rPr>
            </w:pPr>
            <w:r>
              <w:rPr>
                <w:rFonts w:hint="eastAsia" w:ascii="宋体" w:hAnsi="宋体" w:eastAsia="宋体" w:cs="宋体"/>
                <w:sz w:val="22"/>
                <w:szCs w:val="22"/>
                <w:highlight w:val="none"/>
              </w:rPr>
              <w:t>发现一次食品安全事故，根据情节进行处罚，</w:t>
            </w:r>
            <w:r>
              <w:rPr>
                <w:rFonts w:hint="eastAsia" w:ascii="宋体" w:hAnsi="宋体" w:cs="宋体"/>
                <w:sz w:val="22"/>
                <w:szCs w:val="22"/>
                <w:highlight w:val="none"/>
                <w:lang w:eastAsia="zh-CN"/>
              </w:rPr>
              <w:t>甲方</w:t>
            </w:r>
            <w:r>
              <w:rPr>
                <w:rFonts w:hint="default" w:ascii="宋体" w:hAnsi="宋体" w:cs="宋体"/>
                <w:sz w:val="22"/>
                <w:szCs w:val="22"/>
                <w:highlight w:val="none"/>
                <w:lang w:eastAsia="zh-CN"/>
              </w:rPr>
              <w:t>可就</w:t>
            </w:r>
            <w:r>
              <w:rPr>
                <w:rStyle w:val="57"/>
                <w:rFonts w:hint="eastAsia" w:ascii="宋体" w:hAnsi="宋体" w:eastAsia="宋体" w:cs="宋体"/>
                <w:b w:val="0"/>
                <w:i w:val="0"/>
                <w:caps w:val="0"/>
                <w:spacing w:val="0"/>
                <w:w w:val="100"/>
                <w:kern w:val="2"/>
                <w:sz w:val="22"/>
                <w:szCs w:val="22"/>
                <w:highlight w:val="none"/>
                <w:lang w:eastAsia="zh-CN" w:bidi="ar-SA"/>
              </w:rPr>
              <w:t>履约银行保函主张索赔</w:t>
            </w:r>
            <w:r>
              <w:rPr>
                <w:rStyle w:val="57"/>
                <w:rFonts w:hint="default" w:ascii="宋体" w:hAnsi="宋体" w:eastAsia="宋体" w:cs="宋体"/>
                <w:b w:val="0"/>
                <w:i w:val="0"/>
                <w:caps w:val="0"/>
                <w:spacing w:val="0"/>
                <w:w w:val="100"/>
                <w:kern w:val="2"/>
                <w:sz w:val="22"/>
                <w:szCs w:val="22"/>
                <w:highlight w:val="none"/>
                <w:lang w:eastAsia="zh-CN" w:bidi="ar-SA"/>
              </w:rPr>
              <w:t>同时</w:t>
            </w:r>
            <w:r>
              <w:rPr>
                <w:rFonts w:hint="default" w:ascii="宋体" w:hAnsi="宋体" w:eastAsia="宋体" w:cs="宋体"/>
                <w:sz w:val="22"/>
                <w:szCs w:val="22"/>
                <w:highlight w:val="none"/>
              </w:rPr>
              <w:t>终止</w:t>
            </w:r>
            <w:r>
              <w:rPr>
                <w:rFonts w:hint="eastAsia" w:ascii="宋体" w:hAnsi="宋体" w:eastAsia="宋体" w:cs="宋体"/>
                <w:sz w:val="22"/>
                <w:szCs w:val="22"/>
                <w:highlight w:val="none"/>
              </w:rPr>
              <w:t>合同并追究法律责任。</w:t>
            </w:r>
          </w:p>
        </w:tc>
      </w:tr>
      <w:tr w14:paraId="18F5DB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50" w:type="pct"/>
            <w:tcBorders>
              <w:top w:val="single" w:color="000000" w:sz="4" w:space="0"/>
              <w:left w:val="single" w:color="000000" w:sz="4" w:space="0"/>
              <w:bottom w:val="single" w:color="000000" w:sz="4" w:space="0"/>
              <w:right w:val="single" w:color="000000" w:sz="4" w:space="0"/>
            </w:tcBorders>
            <w:noWrap w:val="0"/>
            <w:vAlign w:val="center"/>
          </w:tcPr>
          <w:p w14:paraId="36682C9E">
            <w:pPr>
              <w:spacing w:line="300" w:lineRule="exact"/>
              <w:ind w:firstLine="0" w:firstLineChars="0"/>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10</w:t>
            </w:r>
          </w:p>
        </w:tc>
        <w:tc>
          <w:tcPr>
            <w:tcW w:w="1570" w:type="pct"/>
            <w:tcBorders>
              <w:top w:val="single" w:color="000000" w:sz="4" w:space="0"/>
              <w:left w:val="single" w:color="000000" w:sz="4" w:space="0"/>
              <w:bottom w:val="single" w:color="000000" w:sz="4" w:space="0"/>
              <w:right w:val="single" w:color="000000" w:sz="4" w:space="0"/>
            </w:tcBorders>
            <w:noWrap w:val="0"/>
            <w:vAlign w:val="center"/>
          </w:tcPr>
          <w:p w14:paraId="5BBD7EB6">
            <w:pPr>
              <w:spacing w:line="300" w:lineRule="exact"/>
              <w:ind w:firstLine="0" w:firstLineChars="0"/>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rPr>
              <w:t>服务人员培训合格率</w:t>
            </w:r>
            <w:r>
              <w:rPr>
                <w:rFonts w:hint="eastAsia" w:ascii="宋体" w:hAnsi="宋体" w:eastAsia="宋体" w:cs="宋体"/>
                <w:sz w:val="22"/>
                <w:szCs w:val="22"/>
                <w:highlight w:val="none"/>
                <w:lang w:eastAsia="zh-CN"/>
              </w:rPr>
              <w:t>。</w:t>
            </w:r>
          </w:p>
        </w:tc>
        <w:tc>
          <w:tcPr>
            <w:tcW w:w="730" w:type="pct"/>
            <w:tcBorders>
              <w:top w:val="single" w:color="000000" w:sz="4" w:space="0"/>
              <w:left w:val="single" w:color="000000" w:sz="4" w:space="0"/>
              <w:bottom w:val="single" w:color="000000" w:sz="4" w:space="0"/>
              <w:right w:val="single" w:color="000000" w:sz="4" w:space="0"/>
            </w:tcBorders>
            <w:noWrap w:val="0"/>
            <w:vAlign w:val="center"/>
          </w:tcPr>
          <w:p w14:paraId="19E68F20">
            <w:pPr>
              <w:spacing w:line="300" w:lineRule="exact"/>
              <w:ind w:firstLine="0" w:firstLineChars="0"/>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100%合格</w:t>
            </w:r>
          </w:p>
        </w:tc>
        <w:tc>
          <w:tcPr>
            <w:tcW w:w="2249" w:type="pct"/>
            <w:tcBorders>
              <w:top w:val="single" w:color="000000" w:sz="4" w:space="0"/>
              <w:left w:val="single" w:color="000000" w:sz="4" w:space="0"/>
              <w:bottom w:val="single" w:color="000000" w:sz="4" w:space="0"/>
              <w:right w:val="single" w:color="000000" w:sz="4" w:space="0"/>
            </w:tcBorders>
            <w:noWrap w:val="0"/>
            <w:vAlign w:val="center"/>
          </w:tcPr>
          <w:p w14:paraId="03DF9BDB">
            <w:pPr>
              <w:spacing w:line="300" w:lineRule="exact"/>
              <w:ind w:firstLine="0" w:firstLineChars="0"/>
              <w:rPr>
                <w:rFonts w:hint="eastAsia" w:ascii="宋体" w:hAnsi="宋体" w:eastAsia="宋体" w:cs="宋体"/>
                <w:sz w:val="22"/>
                <w:szCs w:val="22"/>
                <w:highlight w:val="none"/>
              </w:rPr>
            </w:pPr>
            <w:r>
              <w:rPr>
                <w:rFonts w:hint="eastAsia" w:ascii="宋体" w:hAnsi="宋体" w:eastAsia="宋体" w:cs="宋体"/>
                <w:sz w:val="22"/>
                <w:szCs w:val="22"/>
                <w:highlight w:val="none"/>
              </w:rPr>
              <w:t>检查一次未合格，</w:t>
            </w:r>
            <w:r>
              <w:rPr>
                <w:rFonts w:hint="eastAsia" w:ascii="宋体" w:hAnsi="宋体" w:cs="宋体"/>
                <w:sz w:val="22"/>
                <w:szCs w:val="22"/>
                <w:highlight w:val="none"/>
                <w:lang w:eastAsia="zh-CN"/>
              </w:rPr>
              <w:t>支付违约金</w:t>
            </w:r>
            <w:r>
              <w:rPr>
                <w:rFonts w:hint="eastAsia" w:ascii="宋体" w:hAnsi="宋体" w:eastAsia="宋体" w:cs="宋体"/>
                <w:sz w:val="22"/>
                <w:szCs w:val="22"/>
                <w:highlight w:val="none"/>
              </w:rPr>
              <w:t>500元。</w:t>
            </w:r>
          </w:p>
        </w:tc>
      </w:tr>
      <w:tr w14:paraId="5203AC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0" w:type="pct"/>
            <w:tcBorders>
              <w:top w:val="single" w:color="000000" w:sz="4" w:space="0"/>
              <w:left w:val="single" w:color="000000" w:sz="4" w:space="0"/>
              <w:bottom w:val="single" w:color="000000" w:sz="4" w:space="0"/>
              <w:right w:val="single" w:color="000000" w:sz="4" w:space="0"/>
            </w:tcBorders>
            <w:noWrap w:val="0"/>
            <w:vAlign w:val="center"/>
          </w:tcPr>
          <w:p w14:paraId="4877D8A3">
            <w:pPr>
              <w:spacing w:line="300" w:lineRule="exact"/>
              <w:ind w:firstLine="0" w:firstLineChars="0"/>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11</w:t>
            </w:r>
          </w:p>
        </w:tc>
        <w:tc>
          <w:tcPr>
            <w:tcW w:w="1570" w:type="pct"/>
            <w:tcBorders>
              <w:top w:val="single" w:color="000000" w:sz="4" w:space="0"/>
              <w:left w:val="single" w:color="000000" w:sz="4" w:space="0"/>
              <w:bottom w:val="single" w:color="000000" w:sz="4" w:space="0"/>
              <w:right w:val="single" w:color="000000" w:sz="4" w:space="0"/>
            </w:tcBorders>
            <w:noWrap w:val="0"/>
            <w:vAlign w:val="center"/>
          </w:tcPr>
          <w:p w14:paraId="05F9785B">
            <w:pPr>
              <w:spacing w:line="300" w:lineRule="exact"/>
              <w:ind w:firstLine="0" w:firstLineChars="0"/>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rPr>
              <w:t>个人卫生及仪容仪表</w:t>
            </w:r>
            <w:r>
              <w:rPr>
                <w:rFonts w:hint="eastAsia" w:ascii="宋体" w:hAnsi="宋体" w:eastAsia="宋体" w:cs="宋体"/>
                <w:sz w:val="22"/>
                <w:szCs w:val="22"/>
                <w:highlight w:val="none"/>
                <w:lang w:eastAsia="zh-CN"/>
              </w:rPr>
              <w:t>。</w:t>
            </w:r>
          </w:p>
        </w:tc>
        <w:tc>
          <w:tcPr>
            <w:tcW w:w="730" w:type="pct"/>
            <w:tcBorders>
              <w:top w:val="single" w:color="000000" w:sz="4" w:space="0"/>
              <w:left w:val="single" w:color="000000" w:sz="4" w:space="0"/>
              <w:bottom w:val="single" w:color="000000" w:sz="4" w:space="0"/>
              <w:right w:val="single" w:color="000000" w:sz="4" w:space="0"/>
            </w:tcBorders>
            <w:noWrap w:val="0"/>
            <w:vAlign w:val="center"/>
          </w:tcPr>
          <w:p w14:paraId="76EF6E44">
            <w:pPr>
              <w:spacing w:line="300" w:lineRule="exact"/>
              <w:ind w:firstLine="0" w:firstLineChars="0"/>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合格</w:t>
            </w:r>
          </w:p>
        </w:tc>
        <w:tc>
          <w:tcPr>
            <w:tcW w:w="2249" w:type="pct"/>
            <w:tcBorders>
              <w:top w:val="single" w:color="000000" w:sz="4" w:space="0"/>
              <w:left w:val="single" w:color="000000" w:sz="4" w:space="0"/>
              <w:bottom w:val="single" w:color="000000" w:sz="4" w:space="0"/>
              <w:right w:val="single" w:color="000000" w:sz="4" w:space="0"/>
            </w:tcBorders>
            <w:noWrap w:val="0"/>
            <w:vAlign w:val="center"/>
          </w:tcPr>
          <w:p w14:paraId="453111DF">
            <w:pPr>
              <w:spacing w:line="300" w:lineRule="exact"/>
              <w:ind w:firstLine="0" w:firstLineChars="0"/>
              <w:rPr>
                <w:rFonts w:hint="eastAsia" w:ascii="宋体" w:hAnsi="宋体" w:eastAsia="宋体" w:cs="宋体"/>
                <w:sz w:val="22"/>
                <w:szCs w:val="22"/>
                <w:highlight w:val="none"/>
              </w:rPr>
            </w:pPr>
            <w:r>
              <w:rPr>
                <w:rFonts w:hint="eastAsia" w:ascii="宋体" w:hAnsi="宋体" w:eastAsia="宋体" w:cs="宋体"/>
                <w:sz w:val="22"/>
                <w:szCs w:val="22"/>
                <w:highlight w:val="none"/>
              </w:rPr>
              <w:t>服务人员穿工作服上岗，做好个人卫生，上完厕所必须洗手，不留长指甲、不涂指甲油、不披头散发、不佩戴戒指等有碍操作饰物在饭堂工作。检查一次未合格，</w:t>
            </w:r>
            <w:r>
              <w:rPr>
                <w:rFonts w:hint="eastAsia" w:ascii="宋体" w:hAnsi="宋体" w:cs="宋体"/>
                <w:sz w:val="22"/>
                <w:szCs w:val="22"/>
                <w:highlight w:val="none"/>
                <w:lang w:eastAsia="zh-CN"/>
              </w:rPr>
              <w:t>支付违约金</w:t>
            </w:r>
            <w:r>
              <w:rPr>
                <w:rFonts w:hint="eastAsia" w:ascii="宋体" w:hAnsi="宋体" w:eastAsia="宋体" w:cs="宋体"/>
                <w:sz w:val="22"/>
                <w:szCs w:val="22"/>
                <w:highlight w:val="none"/>
              </w:rPr>
              <w:t>500元。</w:t>
            </w:r>
          </w:p>
        </w:tc>
      </w:tr>
      <w:tr w14:paraId="7C48AF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0" w:type="pct"/>
            <w:tcBorders>
              <w:top w:val="single" w:color="000000" w:sz="4" w:space="0"/>
              <w:left w:val="single" w:color="000000" w:sz="4" w:space="0"/>
              <w:bottom w:val="single" w:color="000000" w:sz="4" w:space="0"/>
              <w:right w:val="single" w:color="000000" w:sz="4" w:space="0"/>
            </w:tcBorders>
            <w:noWrap w:val="0"/>
            <w:vAlign w:val="center"/>
          </w:tcPr>
          <w:p w14:paraId="072C578D">
            <w:pPr>
              <w:spacing w:line="300" w:lineRule="exact"/>
              <w:ind w:firstLine="0" w:firstLineChars="0"/>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12</w:t>
            </w:r>
          </w:p>
        </w:tc>
        <w:tc>
          <w:tcPr>
            <w:tcW w:w="1570" w:type="pct"/>
            <w:tcBorders>
              <w:top w:val="single" w:color="000000" w:sz="4" w:space="0"/>
              <w:left w:val="single" w:color="000000" w:sz="4" w:space="0"/>
              <w:bottom w:val="single" w:color="000000" w:sz="4" w:space="0"/>
              <w:right w:val="single" w:color="000000" w:sz="4" w:space="0"/>
            </w:tcBorders>
            <w:noWrap w:val="0"/>
            <w:vAlign w:val="center"/>
          </w:tcPr>
          <w:p w14:paraId="524D1742">
            <w:pPr>
              <w:spacing w:line="300" w:lineRule="exact"/>
              <w:ind w:firstLine="0" w:firstLineChars="0"/>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rPr>
              <w:t>服务人员工作配合程度</w:t>
            </w:r>
            <w:r>
              <w:rPr>
                <w:rFonts w:hint="eastAsia" w:ascii="宋体" w:hAnsi="宋体" w:eastAsia="宋体" w:cs="宋体"/>
                <w:sz w:val="22"/>
                <w:szCs w:val="22"/>
                <w:highlight w:val="none"/>
                <w:lang w:eastAsia="zh-CN"/>
              </w:rPr>
              <w:t>。</w:t>
            </w:r>
          </w:p>
        </w:tc>
        <w:tc>
          <w:tcPr>
            <w:tcW w:w="730" w:type="pct"/>
            <w:tcBorders>
              <w:top w:val="single" w:color="000000" w:sz="4" w:space="0"/>
              <w:left w:val="single" w:color="000000" w:sz="4" w:space="0"/>
              <w:bottom w:val="single" w:color="000000" w:sz="4" w:space="0"/>
              <w:right w:val="single" w:color="000000" w:sz="4" w:space="0"/>
            </w:tcBorders>
            <w:noWrap w:val="0"/>
            <w:vAlign w:val="center"/>
          </w:tcPr>
          <w:p w14:paraId="505355A2">
            <w:pPr>
              <w:spacing w:line="300" w:lineRule="exact"/>
              <w:ind w:firstLine="0" w:firstLineChars="0"/>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合格</w:t>
            </w:r>
          </w:p>
        </w:tc>
        <w:tc>
          <w:tcPr>
            <w:tcW w:w="2249" w:type="pct"/>
            <w:tcBorders>
              <w:top w:val="single" w:color="000000" w:sz="4" w:space="0"/>
              <w:left w:val="single" w:color="000000" w:sz="4" w:space="0"/>
              <w:bottom w:val="single" w:color="000000" w:sz="4" w:space="0"/>
              <w:right w:val="single" w:color="000000" w:sz="4" w:space="0"/>
            </w:tcBorders>
            <w:noWrap w:val="0"/>
            <w:vAlign w:val="center"/>
          </w:tcPr>
          <w:p w14:paraId="01FA9E11">
            <w:pPr>
              <w:spacing w:line="300" w:lineRule="exact"/>
              <w:ind w:firstLine="0" w:firstLineChars="0"/>
              <w:rPr>
                <w:rFonts w:hint="eastAsia" w:ascii="宋体" w:hAnsi="宋体" w:eastAsia="宋体" w:cs="宋体"/>
                <w:sz w:val="22"/>
                <w:szCs w:val="22"/>
                <w:highlight w:val="none"/>
              </w:rPr>
            </w:pPr>
            <w:r>
              <w:rPr>
                <w:rFonts w:hint="eastAsia" w:ascii="宋体" w:hAnsi="宋体" w:eastAsia="宋体" w:cs="宋体"/>
                <w:sz w:val="22"/>
                <w:szCs w:val="22"/>
                <w:highlight w:val="none"/>
              </w:rPr>
              <w:t>根据招标人工作性质及需求，中标人所提供服务人员需在接到招标人供餐服务要求时，做到无条件配合。如未能达到要求，一次</w:t>
            </w:r>
            <w:r>
              <w:rPr>
                <w:rFonts w:hint="eastAsia" w:ascii="宋体" w:hAnsi="宋体" w:cs="宋体"/>
                <w:sz w:val="22"/>
                <w:szCs w:val="22"/>
                <w:highlight w:val="none"/>
                <w:lang w:eastAsia="zh-CN"/>
              </w:rPr>
              <w:t>支付违约金</w:t>
            </w:r>
            <w:r>
              <w:rPr>
                <w:rFonts w:hint="eastAsia" w:ascii="宋体" w:hAnsi="宋体" w:eastAsia="宋体" w:cs="宋体"/>
                <w:sz w:val="22"/>
                <w:szCs w:val="22"/>
                <w:highlight w:val="none"/>
              </w:rPr>
              <w:t>500元。</w:t>
            </w:r>
          </w:p>
        </w:tc>
      </w:tr>
    </w:tbl>
    <w:p w14:paraId="7EEFB716">
      <w:pPr>
        <w:widowControl w:val="0"/>
        <w:spacing w:line="440" w:lineRule="exact"/>
        <w:jc w:val="left"/>
        <w:rPr>
          <w:rFonts w:hint="eastAsia" w:ascii="宋体" w:hAnsi="宋体" w:eastAsia="宋体" w:cs="宋体"/>
          <w:sz w:val="22"/>
          <w:szCs w:val="22"/>
          <w:highlight w:val="none"/>
        </w:rPr>
      </w:pPr>
    </w:p>
    <w:p w14:paraId="76D7D844">
      <w:pPr>
        <w:widowControl w:val="0"/>
        <w:ind w:firstLine="0" w:firstLineChars="0"/>
        <w:jc w:val="center"/>
        <w:rPr>
          <w:rFonts w:hint="eastAsia" w:ascii="宋体" w:hAnsi="宋体" w:eastAsia="宋体" w:cs="宋体"/>
          <w:b/>
          <w:bCs/>
          <w:sz w:val="22"/>
          <w:szCs w:val="22"/>
          <w:highlight w:val="none"/>
        </w:rPr>
      </w:pPr>
      <w:r>
        <w:rPr>
          <w:rFonts w:hint="eastAsia" w:ascii="宋体" w:hAnsi="宋体" w:eastAsia="宋体" w:cs="宋体"/>
          <w:b/>
          <w:bCs/>
          <w:sz w:val="22"/>
          <w:szCs w:val="22"/>
          <w:highlight w:val="none"/>
        </w:rPr>
        <w:t>附表</w:t>
      </w:r>
      <w:r>
        <w:rPr>
          <w:rFonts w:hint="default" w:ascii="宋体" w:hAnsi="宋体" w:cs="宋体"/>
          <w:b/>
          <w:bCs/>
          <w:sz w:val="22"/>
          <w:szCs w:val="22"/>
          <w:highlight w:val="none"/>
        </w:rPr>
        <w:t>3</w:t>
      </w:r>
      <w:r>
        <w:rPr>
          <w:rFonts w:hint="eastAsia" w:ascii="宋体" w:hAnsi="宋体" w:eastAsia="宋体" w:cs="宋体"/>
          <w:b/>
          <w:bCs/>
          <w:sz w:val="22"/>
          <w:szCs w:val="22"/>
          <w:highlight w:val="none"/>
        </w:rPr>
        <w:t>：食堂管理服务考核标准</w:t>
      </w:r>
    </w:p>
    <w:tbl>
      <w:tblPr>
        <w:tblStyle w:val="23"/>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33"/>
        <w:gridCol w:w="2345"/>
        <w:gridCol w:w="1084"/>
        <w:gridCol w:w="4364"/>
      </w:tblGrid>
      <w:tr w14:paraId="7B18CA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30" w:type="pct"/>
            <w:tcBorders>
              <w:top w:val="single" w:color="000000" w:sz="4" w:space="0"/>
              <w:left w:val="single" w:color="000000" w:sz="4" w:space="0"/>
              <w:bottom w:val="single" w:color="000000" w:sz="4" w:space="0"/>
              <w:right w:val="single" w:color="000000" w:sz="4" w:space="0"/>
            </w:tcBorders>
            <w:noWrap w:val="0"/>
            <w:vAlign w:val="center"/>
          </w:tcPr>
          <w:p w14:paraId="5ED10C54">
            <w:pPr>
              <w:spacing w:line="240" w:lineRule="auto"/>
              <w:ind w:firstLine="0" w:firstLineChars="0"/>
              <w:jc w:val="center"/>
              <w:rPr>
                <w:rFonts w:hint="eastAsia" w:ascii="宋体" w:hAnsi="宋体" w:eastAsia="宋体" w:cs="宋体"/>
                <w:b/>
                <w:bCs/>
                <w:sz w:val="22"/>
                <w:szCs w:val="22"/>
                <w:highlight w:val="none"/>
              </w:rPr>
            </w:pPr>
            <w:r>
              <w:rPr>
                <w:rFonts w:hint="eastAsia" w:ascii="宋体" w:hAnsi="宋体" w:eastAsia="宋体" w:cs="宋体"/>
                <w:b/>
                <w:bCs/>
                <w:sz w:val="22"/>
                <w:szCs w:val="22"/>
                <w:highlight w:val="none"/>
              </w:rPr>
              <w:t>序号</w:t>
            </w:r>
          </w:p>
        </w:tc>
        <w:tc>
          <w:tcPr>
            <w:tcW w:w="1375" w:type="pct"/>
            <w:tcBorders>
              <w:top w:val="single" w:color="000000" w:sz="4" w:space="0"/>
              <w:left w:val="single" w:color="000000" w:sz="4" w:space="0"/>
              <w:bottom w:val="single" w:color="000000" w:sz="4" w:space="0"/>
              <w:right w:val="single" w:color="000000" w:sz="4" w:space="0"/>
            </w:tcBorders>
            <w:noWrap w:val="0"/>
            <w:vAlign w:val="center"/>
          </w:tcPr>
          <w:p w14:paraId="09D5DF8B">
            <w:pPr>
              <w:spacing w:line="240" w:lineRule="auto"/>
              <w:ind w:firstLine="0" w:firstLineChars="0"/>
              <w:jc w:val="center"/>
              <w:rPr>
                <w:rFonts w:hint="eastAsia" w:ascii="宋体" w:hAnsi="宋体" w:eastAsia="宋体" w:cs="宋体"/>
                <w:b/>
                <w:bCs/>
                <w:sz w:val="22"/>
                <w:szCs w:val="22"/>
                <w:highlight w:val="none"/>
              </w:rPr>
            </w:pPr>
            <w:r>
              <w:rPr>
                <w:rFonts w:hint="eastAsia" w:ascii="宋体" w:hAnsi="宋体" w:eastAsia="宋体" w:cs="宋体"/>
                <w:b/>
                <w:bCs/>
                <w:sz w:val="22"/>
                <w:szCs w:val="22"/>
                <w:highlight w:val="none"/>
              </w:rPr>
              <w:t>甲方考核事项</w:t>
            </w:r>
          </w:p>
        </w:tc>
        <w:tc>
          <w:tcPr>
            <w:tcW w:w="635" w:type="pct"/>
            <w:tcBorders>
              <w:top w:val="single" w:color="000000" w:sz="4" w:space="0"/>
              <w:left w:val="single" w:color="000000" w:sz="4" w:space="0"/>
              <w:bottom w:val="single" w:color="000000" w:sz="4" w:space="0"/>
              <w:right w:val="single" w:color="000000" w:sz="4" w:space="0"/>
            </w:tcBorders>
            <w:noWrap w:val="0"/>
            <w:vAlign w:val="center"/>
          </w:tcPr>
          <w:p w14:paraId="1F2FF864">
            <w:pPr>
              <w:spacing w:line="240" w:lineRule="auto"/>
              <w:ind w:firstLine="0" w:firstLineChars="0"/>
              <w:jc w:val="center"/>
              <w:rPr>
                <w:rFonts w:hint="eastAsia" w:ascii="宋体" w:hAnsi="宋体" w:eastAsia="宋体" w:cs="宋体"/>
                <w:b/>
                <w:bCs/>
                <w:sz w:val="22"/>
                <w:szCs w:val="22"/>
                <w:highlight w:val="none"/>
              </w:rPr>
            </w:pPr>
            <w:r>
              <w:rPr>
                <w:rFonts w:hint="eastAsia" w:ascii="宋体" w:hAnsi="宋体" w:eastAsia="宋体" w:cs="宋体"/>
                <w:b/>
                <w:bCs/>
                <w:sz w:val="22"/>
                <w:szCs w:val="22"/>
                <w:highlight w:val="none"/>
              </w:rPr>
              <w:t>服务标准</w:t>
            </w:r>
          </w:p>
        </w:tc>
        <w:tc>
          <w:tcPr>
            <w:tcW w:w="2558" w:type="pct"/>
            <w:tcBorders>
              <w:top w:val="single" w:color="000000" w:sz="4" w:space="0"/>
              <w:left w:val="single" w:color="000000" w:sz="4" w:space="0"/>
              <w:bottom w:val="single" w:color="000000" w:sz="4" w:space="0"/>
              <w:right w:val="single" w:color="000000" w:sz="4" w:space="0"/>
            </w:tcBorders>
            <w:noWrap w:val="0"/>
            <w:vAlign w:val="center"/>
          </w:tcPr>
          <w:p w14:paraId="185285E7">
            <w:pPr>
              <w:spacing w:line="240" w:lineRule="auto"/>
              <w:ind w:firstLine="0" w:firstLineChars="0"/>
              <w:jc w:val="center"/>
              <w:rPr>
                <w:rFonts w:hint="eastAsia" w:ascii="宋体" w:hAnsi="宋体" w:eastAsia="宋体" w:cs="宋体"/>
                <w:b/>
                <w:bCs/>
                <w:sz w:val="22"/>
                <w:szCs w:val="22"/>
                <w:highlight w:val="none"/>
                <w:lang w:eastAsia="zh-CN"/>
              </w:rPr>
            </w:pPr>
            <w:r>
              <w:rPr>
                <w:rFonts w:hint="eastAsia" w:ascii="宋体" w:hAnsi="宋体" w:eastAsia="宋体" w:cs="宋体"/>
                <w:b/>
                <w:bCs/>
                <w:sz w:val="22"/>
                <w:szCs w:val="22"/>
                <w:highlight w:val="none"/>
              </w:rPr>
              <w:t>考核不过，乙方</w:t>
            </w:r>
            <w:r>
              <w:rPr>
                <w:rFonts w:hint="eastAsia" w:ascii="宋体" w:hAnsi="宋体" w:cs="宋体"/>
                <w:b/>
                <w:bCs/>
                <w:sz w:val="22"/>
                <w:szCs w:val="22"/>
                <w:highlight w:val="none"/>
                <w:lang w:eastAsia="zh-CN"/>
              </w:rPr>
              <w:t>违约责任</w:t>
            </w:r>
          </w:p>
        </w:tc>
      </w:tr>
      <w:tr w14:paraId="2C1AF8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30" w:type="pct"/>
            <w:tcBorders>
              <w:top w:val="single" w:color="000000" w:sz="4" w:space="0"/>
              <w:left w:val="single" w:color="000000" w:sz="4" w:space="0"/>
              <w:bottom w:val="single" w:color="000000" w:sz="4" w:space="0"/>
              <w:right w:val="single" w:color="000000" w:sz="4" w:space="0"/>
            </w:tcBorders>
            <w:noWrap w:val="0"/>
            <w:vAlign w:val="center"/>
          </w:tcPr>
          <w:p w14:paraId="600C353F">
            <w:pPr>
              <w:spacing w:line="240" w:lineRule="auto"/>
              <w:ind w:firstLine="0" w:firstLineChars="0"/>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1</w:t>
            </w:r>
          </w:p>
        </w:tc>
        <w:tc>
          <w:tcPr>
            <w:tcW w:w="1375" w:type="pct"/>
            <w:tcBorders>
              <w:top w:val="single" w:color="000000" w:sz="4" w:space="0"/>
              <w:left w:val="single" w:color="000000" w:sz="4" w:space="0"/>
              <w:bottom w:val="single" w:color="000000" w:sz="4" w:space="0"/>
              <w:right w:val="single" w:color="000000" w:sz="4" w:space="0"/>
            </w:tcBorders>
            <w:noWrap w:val="0"/>
            <w:vAlign w:val="center"/>
          </w:tcPr>
          <w:p w14:paraId="27D496D3">
            <w:pPr>
              <w:spacing w:line="240" w:lineRule="auto"/>
              <w:ind w:firstLine="0" w:firstLineChars="0"/>
              <w:rPr>
                <w:rFonts w:hint="eastAsia" w:ascii="宋体" w:hAnsi="宋体" w:eastAsia="宋体" w:cs="宋体"/>
                <w:sz w:val="22"/>
                <w:szCs w:val="22"/>
                <w:highlight w:val="none"/>
              </w:rPr>
            </w:pPr>
            <w:r>
              <w:rPr>
                <w:rFonts w:hint="eastAsia" w:ascii="宋体" w:hAnsi="宋体" w:eastAsia="宋体" w:cs="宋体"/>
                <w:sz w:val="22"/>
                <w:szCs w:val="22"/>
                <w:highlight w:val="none"/>
              </w:rPr>
              <w:t>不定期对就餐环境、餐具等的卫生状况检查。</w:t>
            </w:r>
          </w:p>
        </w:tc>
        <w:tc>
          <w:tcPr>
            <w:tcW w:w="635" w:type="pct"/>
            <w:tcBorders>
              <w:top w:val="single" w:color="000000" w:sz="4" w:space="0"/>
              <w:left w:val="single" w:color="000000" w:sz="4" w:space="0"/>
              <w:bottom w:val="single" w:color="000000" w:sz="4" w:space="0"/>
              <w:right w:val="single" w:color="000000" w:sz="4" w:space="0"/>
            </w:tcBorders>
            <w:noWrap w:val="0"/>
            <w:vAlign w:val="center"/>
          </w:tcPr>
          <w:p w14:paraId="49E8D9BE">
            <w:pPr>
              <w:spacing w:line="240" w:lineRule="auto"/>
              <w:ind w:firstLine="0" w:firstLineChars="0"/>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合格</w:t>
            </w:r>
          </w:p>
        </w:tc>
        <w:tc>
          <w:tcPr>
            <w:tcW w:w="2558" w:type="pct"/>
            <w:tcBorders>
              <w:top w:val="single" w:color="000000" w:sz="4" w:space="0"/>
              <w:left w:val="single" w:color="000000" w:sz="4" w:space="0"/>
              <w:bottom w:val="single" w:color="000000" w:sz="4" w:space="0"/>
              <w:right w:val="single" w:color="000000" w:sz="4" w:space="0"/>
            </w:tcBorders>
            <w:noWrap w:val="0"/>
            <w:vAlign w:val="center"/>
          </w:tcPr>
          <w:p w14:paraId="26F392C9">
            <w:pPr>
              <w:spacing w:line="240" w:lineRule="auto"/>
              <w:ind w:firstLine="0" w:firstLineChars="0"/>
              <w:rPr>
                <w:rFonts w:hint="eastAsia" w:ascii="宋体" w:hAnsi="宋体" w:eastAsia="宋体" w:cs="宋体"/>
                <w:sz w:val="22"/>
                <w:szCs w:val="22"/>
                <w:highlight w:val="none"/>
              </w:rPr>
            </w:pPr>
            <w:r>
              <w:rPr>
                <w:rFonts w:hint="eastAsia" w:ascii="宋体" w:hAnsi="宋体" w:eastAsia="宋体" w:cs="宋体"/>
                <w:sz w:val="22"/>
                <w:szCs w:val="22"/>
                <w:highlight w:val="none"/>
              </w:rPr>
              <w:t>一次检查不合格</w:t>
            </w:r>
            <w:r>
              <w:rPr>
                <w:rFonts w:hint="eastAsia" w:ascii="宋体" w:hAnsi="宋体" w:cs="宋体"/>
                <w:sz w:val="22"/>
                <w:szCs w:val="22"/>
                <w:highlight w:val="none"/>
                <w:lang w:eastAsia="zh-CN"/>
              </w:rPr>
              <w:t>支付违约金</w:t>
            </w:r>
            <w:r>
              <w:rPr>
                <w:rFonts w:hint="eastAsia" w:ascii="宋体" w:hAnsi="宋体" w:eastAsia="宋体" w:cs="宋体"/>
                <w:sz w:val="22"/>
                <w:szCs w:val="22"/>
                <w:highlight w:val="none"/>
              </w:rPr>
              <w:t>500元。</w:t>
            </w:r>
          </w:p>
        </w:tc>
      </w:tr>
      <w:tr w14:paraId="6E4175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430" w:type="pct"/>
            <w:tcBorders>
              <w:top w:val="single" w:color="000000" w:sz="4" w:space="0"/>
              <w:left w:val="single" w:color="000000" w:sz="4" w:space="0"/>
              <w:bottom w:val="single" w:color="000000" w:sz="4" w:space="0"/>
              <w:right w:val="single" w:color="000000" w:sz="4" w:space="0"/>
            </w:tcBorders>
            <w:noWrap w:val="0"/>
            <w:vAlign w:val="center"/>
          </w:tcPr>
          <w:p w14:paraId="0D059565">
            <w:pPr>
              <w:spacing w:line="240" w:lineRule="auto"/>
              <w:ind w:firstLine="0" w:firstLineChars="0"/>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2</w:t>
            </w:r>
          </w:p>
        </w:tc>
        <w:tc>
          <w:tcPr>
            <w:tcW w:w="1375" w:type="pct"/>
            <w:tcBorders>
              <w:top w:val="single" w:color="000000" w:sz="4" w:space="0"/>
              <w:left w:val="single" w:color="000000" w:sz="4" w:space="0"/>
              <w:bottom w:val="single" w:color="000000" w:sz="4" w:space="0"/>
              <w:right w:val="single" w:color="000000" w:sz="4" w:space="0"/>
            </w:tcBorders>
            <w:noWrap w:val="0"/>
            <w:vAlign w:val="center"/>
          </w:tcPr>
          <w:p w14:paraId="2A6B51A5">
            <w:pPr>
              <w:spacing w:line="240" w:lineRule="auto"/>
              <w:ind w:firstLine="0" w:firstLineChars="0"/>
              <w:rPr>
                <w:rFonts w:hint="eastAsia" w:ascii="宋体" w:hAnsi="宋体" w:eastAsia="宋体" w:cs="宋体"/>
                <w:sz w:val="22"/>
                <w:szCs w:val="22"/>
                <w:highlight w:val="none"/>
              </w:rPr>
            </w:pPr>
            <w:r>
              <w:rPr>
                <w:rFonts w:hint="eastAsia" w:ascii="宋体" w:hAnsi="宋体" w:eastAsia="宋体" w:cs="宋体"/>
                <w:sz w:val="22"/>
                <w:szCs w:val="22"/>
                <w:highlight w:val="none"/>
              </w:rPr>
              <w:t>每季度对食堂菜品、食品卫生、服务态度等进行问卷调查。</w:t>
            </w:r>
          </w:p>
        </w:tc>
        <w:tc>
          <w:tcPr>
            <w:tcW w:w="635" w:type="pct"/>
            <w:tcBorders>
              <w:top w:val="single" w:color="000000" w:sz="4" w:space="0"/>
              <w:left w:val="single" w:color="000000" w:sz="4" w:space="0"/>
              <w:bottom w:val="single" w:color="000000" w:sz="4" w:space="0"/>
              <w:right w:val="single" w:color="000000" w:sz="4" w:space="0"/>
            </w:tcBorders>
            <w:noWrap w:val="0"/>
            <w:vAlign w:val="center"/>
          </w:tcPr>
          <w:p w14:paraId="313ACB49">
            <w:pPr>
              <w:spacing w:line="240" w:lineRule="auto"/>
              <w:ind w:firstLine="0" w:firstLineChars="0"/>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满意</w:t>
            </w:r>
          </w:p>
        </w:tc>
        <w:tc>
          <w:tcPr>
            <w:tcW w:w="2558" w:type="pct"/>
            <w:tcBorders>
              <w:top w:val="single" w:color="000000" w:sz="4" w:space="0"/>
              <w:left w:val="single" w:color="000000" w:sz="4" w:space="0"/>
              <w:bottom w:val="single" w:color="000000" w:sz="4" w:space="0"/>
              <w:right w:val="single" w:color="000000" w:sz="4" w:space="0"/>
            </w:tcBorders>
            <w:noWrap w:val="0"/>
            <w:vAlign w:val="center"/>
          </w:tcPr>
          <w:p w14:paraId="7E617E79">
            <w:pPr>
              <w:spacing w:line="240" w:lineRule="auto"/>
              <w:ind w:firstLine="0" w:firstLineChars="0"/>
              <w:rPr>
                <w:rFonts w:hint="eastAsia" w:ascii="宋体" w:hAnsi="宋体" w:eastAsia="宋体" w:cs="宋体"/>
                <w:sz w:val="22"/>
                <w:szCs w:val="22"/>
                <w:highlight w:val="none"/>
              </w:rPr>
            </w:pPr>
            <w:r>
              <w:rPr>
                <w:rFonts w:hint="eastAsia" w:ascii="宋体" w:hAnsi="宋体" w:eastAsia="宋体" w:cs="宋体"/>
                <w:sz w:val="22"/>
                <w:szCs w:val="22"/>
                <w:highlight w:val="none"/>
              </w:rPr>
              <w:t>全体就餐员工满意度得分低于80分的，责令整改并</w:t>
            </w:r>
            <w:r>
              <w:rPr>
                <w:rFonts w:hint="eastAsia" w:ascii="宋体" w:hAnsi="宋体" w:cs="宋体"/>
                <w:sz w:val="22"/>
                <w:szCs w:val="22"/>
                <w:highlight w:val="none"/>
                <w:lang w:eastAsia="zh-CN"/>
              </w:rPr>
              <w:t>支付违约金</w:t>
            </w:r>
            <w:r>
              <w:rPr>
                <w:rFonts w:hint="default" w:ascii="宋体" w:hAnsi="宋体" w:cs="宋体"/>
                <w:sz w:val="22"/>
                <w:szCs w:val="22"/>
                <w:highlight w:val="none"/>
              </w:rPr>
              <w:t>3</w:t>
            </w:r>
            <w:r>
              <w:rPr>
                <w:rFonts w:hint="eastAsia" w:ascii="宋体" w:hAnsi="宋体" w:eastAsia="宋体" w:cs="宋体"/>
                <w:sz w:val="22"/>
                <w:szCs w:val="22"/>
                <w:highlight w:val="none"/>
              </w:rPr>
              <w:t>000元；如整改措施不力，连续两个月满意度得分低于80分的，</w:t>
            </w:r>
            <w:r>
              <w:rPr>
                <w:rFonts w:hint="eastAsia" w:ascii="宋体" w:hAnsi="宋体" w:cs="宋体"/>
                <w:sz w:val="22"/>
                <w:szCs w:val="22"/>
                <w:highlight w:val="none"/>
                <w:lang w:eastAsia="zh-CN"/>
              </w:rPr>
              <w:t>甲方有权就乙方提供的银行保函主张索赔</w:t>
            </w:r>
            <w:r>
              <w:rPr>
                <w:rFonts w:hint="eastAsia" w:ascii="宋体" w:hAnsi="宋体" w:eastAsia="宋体" w:cs="宋体"/>
                <w:sz w:val="22"/>
                <w:szCs w:val="22"/>
                <w:highlight w:val="none"/>
              </w:rPr>
              <w:t>。</w:t>
            </w:r>
          </w:p>
        </w:tc>
      </w:tr>
      <w:tr w14:paraId="2E16BE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30" w:type="pct"/>
            <w:tcBorders>
              <w:top w:val="single" w:color="000000" w:sz="4" w:space="0"/>
              <w:left w:val="single" w:color="000000" w:sz="4" w:space="0"/>
              <w:bottom w:val="single" w:color="000000" w:sz="4" w:space="0"/>
              <w:right w:val="single" w:color="000000" w:sz="4" w:space="0"/>
            </w:tcBorders>
            <w:noWrap w:val="0"/>
            <w:vAlign w:val="center"/>
          </w:tcPr>
          <w:p w14:paraId="50B053C3">
            <w:pPr>
              <w:spacing w:line="240" w:lineRule="auto"/>
              <w:ind w:firstLine="0" w:firstLineChars="0"/>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3</w:t>
            </w:r>
          </w:p>
        </w:tc>
        <w:tc>
          <w:tcPr>
            <w:tcW w:w="1375" w:type="pct"/>
            <w:tcBorders>
              <w:top w:val="single" w:color="000000" w:sz="4" w:space="0"/>
              <w:left w:val="single" w:color="000000" w:sz="4" w:space="0"/>
              <w:bottom w:val="single" w:color="000000" w:sz="4" w:space="0"/>
              <w:right w:val="single" w:color="000000" w:sz="4" w:space="0"/>
            </w:tcBorders>
            <w:noWrap w:val="0"/>
            <w:vAlign w:val="center"/>
          </w:tcPr>
          <w:p w14:paraId="25392037">
            <w:pPr>
              <w:spacing w:line="240" w:lineRule="auto"/>
              <w:ind w:firstLine="0" w:firstLineChars="0"/>
              <w:rPr>
                <w:rFonts w:hint="eastAsia" w:ascii="宋体" w:hAnsi="宋体" w:eastAsia="宋体" w:cs="宋体"/>
                <w:sz w:val="22"/>
                <w:szCs w:val="22"/>
                <w:highlight w:val="none"/>
              </w:rPr>
            </w:pPr>
            <w:r>
              <w:rPr>
                <w:rFonts w:hint="eastAsia" w:ascii="宋体" w:hAnsi="宋体" w:eastAsia="宋体" w:cs="宋体"/>
                <w:sz w:val="22"/>
                <w:szCs w:val="22"/>
                <w:highlight w:val="none"/>
              </w:rPr>
              <w:t>要求做好48小时每餐每样的食品留样工作。</w:t>
            </w:r>
          </w:p>
        </w:tc>
        <w:tc>
          <w:tcPr>
            <w:tcW w:w="635" w:type="pct"/>
            <w:tcBorders>
              <w:top w:val="single" w:color="000000" w:sz="4" w:space="0"/>
              <w:left w:val="single" w:color="000000" w:sz="4" w:space="0"/>
              <w:bottom w:val="single" w:color="000000" w:sz="4" w:space="0"/>
              <w:right w:val="single" w:color="000000" w:sz="4" w:space="0"/>
            </w:tcBorders>
            <w:noWrap w:val="0"/>
            <w:vAlign w:val="center"/>
          </w:tcPr>
          <w:p w14:paraId="0C97C75B">
            <w:pPr>
              <w:spacing w:line="240" w:lineRule="auto"/>
              <w:ind w:firstLine="0" w:firstLineChars="0"/>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合格</w:t>
            </w:r>
          </w:p>
        </w:tc>
        <w:tc>
          <w:tcPr>
            <w:tcW w:w="2558" w:type="pct"/>
            <w:tcBorders>
              <w:top w:val="single" w:color="000000" w:sz="4" w:space="0"/>
              <w:left w:val="single" w:color="000000" w:sz="4" w:space="0"/>
              <w:bottom w:val="single" w:color="000000" w:sz="4" w:space="0"/>
              <w:right w:val="single" w:color="000000" w:sz="4" w:space="0"/>
            </w:tcBorders>
            <w:noWrap w:val="0"/>
            <w:vAlign w:val="center"/>
          </w:tcPr>
          <w:p w14:paraId="2798DF73">
            <w:pPr>
              <w:spacing w:line="240" w:lineRule="auto"/>
              <w:ind w:firstLine="0" w:firstLineChars="0"/>
              <w:rPr>
                <w:rFonts w:hint="eastAsia" w:ascii="宋体" w:hAnsi="宋体" w:eastAsia="宋体" w:cs="宋体"/>
                <w:sz w:val="22"/>
                <w:szCs w:val="22"/>
                <w:highlight w:val="none"/>
              </w:rPr>
            </w:pPr>
            <w:r>
              <w:rPr>
                <w:rFonts w:hint="eastAsia" w:ascii="宋体" w:hAnsi="宋体" w:eastAsia="宋体" w:cs="宋体"/>
                <w:sz w:val="22"/>
                <w:szCs w:val="22"/>
                <w:highlight w:val="none"/>
              </w:rPr>
              <w:t>检查一次未留样，</w:t>
            </w:r>
            <w:r>
              <w:rPr>
                <w:rFonts w:hint="eastAsia" w:ascii="宋体" w:hAnsi="宋体" w:cs="宋体"/>
                <w:sz w:val="22"/>
                <w:szCs w:val="22"/>
                <w:highlight w:val="none"/>
                <w:lang w:eastAsia="zh-CN"/>
              </w:rPr>
              <w:t>支付违约金</w:t>
            </w:r>
            <w:r>
              <w:rPr>
                <w:rFonts w:hint="eastAsia" w:ascii="宋体" w:hAnsi="宋体" w:eastAsia="宋体" w:cs="宋体"/>
                <w:sz w:val="22"/>
                <w:szCs w:val="22"/>
                <w:highlight w:val="none"/>
              </w:rPr>
              <w:t>500元。</w:t>
            </w:r>
          </w:p>
        </w:tc>
      </w:tr>
      <w:tr w14:paraId="7F0ED6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30" w:type="pct"/>
            <w:tcBorders>
              <w:top w:val="single" w:color="000000" w:sz="4" w:space="0"/>
              <w:left w:val="single" w:color="000000" w:sz="4" w:space="0"/>
              <w:bottom w:val="single" w:color="000000" w:sz="4" w:space="0"/>
              <w:right w:val="single" w:color="000000" w:sz="4" w:space="0"/>
            </w:tcBorders>
            <w:noWrap w:val="0"/>
            <w:vAlign w:val="center"/>
          </w:tcPr>
          <w:p w14:paraId="1190E8AA">
            <w:pPr>
              <w:spacing w:line="240" w:lineRule="auto"/>
              <w:ind w:firstLine="0" w:firstLineChars="0"/>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4</w:t>
            </w:r>
          </w:p>
        </w:tc>
        <w:tc>
          <w:tcPr>
            <w:tcW w:w="1375" w:type="pct"/>
            <w:tcBorders>
              <w:top w:val="single" w:color="000000" w:sz="4" w:space="0"/>
              <w:left w:val="single" w:color="000000" w:sz="4" w:space="0"/>
              <w:bottom w:val="single" w:color="000000" w:sz="4" w:space="0"/>
              <w:right w:val="single" w:color="000000" w:sz="4" w:space="0"/>
            </w:tcBorders>
            <w:noWrap w:val="0"/>
            <w:vAlign w:val="center"/>
          </w:tcPr>
          <w:p w14:paraId="0FABE7D0">
            <w:pPr>
              <w:spacing w:line="240" w:lineRule="auto"/>
              <w:ind w:firstLine="0" w:firstLineChars="0"/>
              <w:rPr>
                <w:rFonts w:hint="eastAsia" w:ascii="宋体" w:hAnsi="宋体" w:eastAsia="宋体" w:cs="宋体"/>
                <w:sz w:val="22"/>
                <w:szCs w:val="22"/>
                <w:highlight w:val="none"/>
              </w:rPr>
            </w:pPr>
            <w:r>
              <w:rPr>
                <w:rFonts w:hint="eastAsia" w:ascii="宋体" w:hAnsi="宋体" w:eastAsia="宋体" w:cs="宋体"/>
                <w:sz w:val="22"/>
                <w:szCs w:val="22"/>
                <w:highlight w:val="none"/>
              </w:rPr>
              <w:t>每日餐厨垃圾必须当天规定时间清理。</w:t>
            </w:r>
          </w:p>
        </w:tc>
        <w:tc>
          <w:tcPr>
            <w:tcW w:w="635" w:type="pct"/>
            <w:tcBorders>
              <w:top w:val="single" w:color="000000" w:sz="4" w:space="0"/>
              <w:left w:val="single" w:color="000000" w:sz="4" w:space="0"/>
              <w:bottom w:val="single" w:color="000000" w:sz="4" w:space="0"/>
              <w:right w:val="single" w:color="000000" w:sz="4" w:space="0"/>
            </w:tcBorders>
            <w:noWrap w:val="0"/>
            <w:vAlign w:val="center"/>
          </w:tcPr>
          <w:p w14:paraId="0BED85E7">
            <w:pPr>
              <w:spacing w:line="240" w:lineRule="auto"/>
              <w:ind w:firstLine="0" w:firstLineChars="0"/>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合格</w:t>
            </w:r>
          </w:p>
        </w:tc>
        <w:tc>
          <w:tcPr>
            <w:tcW w:w="2558" w:type="pct"/>
            <w:tcBorders>
              <w:top w:val="single" w:color="000000" w:sz="4" w:space="0"/>
              <w:left w:val="single" w:color="000000" w:sz="4" w:space="0"/>
              <w:bottom w:val="single" w:color="000000" w:sz="4" w:space="0"/>
              <w:right w:val="single" w:color="000000" w:sz="4" w:space="0"/>
            </w:tcBorders>
            <w:noWrap w:val="0"/>
            <w:vAlign w:val="center"/>
          </w:tcPr>
          <w:p w14:paraId="00C0AE71">
            <w:pPr>
              <w:spacing w:line="240" w:lineRule="auto"/>
              <w:ind w:firstLine="0" w:firstLineChars="0"/>
              <w:rPr>
                <w:rFonts w:hint="eastAsia" w:ascii="宋体" w:hAnsi="宋体" w:eastAsia="宋体" w:cs="宋体"/>
                <w:sz w:val="22"/>
                <w:szCs w:val="22"/>
                <w:highlight w:val="none"/>
              </w:rPr>
            </w:pPr>
            <w:r>
              <w:rPr>
                <w:rFonts w:hint="eastAsia" w:ascii="宋体" w:hAnsi="宋体" w:eastAsia="宋体" w:cs="宋体"/>
                <w:sz w:val="22"/>
                <w:szCs w:val="22"/>
                <w:highlight w:val="none"/>
              </w:rPr>
              <w:t>检查一次未及时清理，</w:t>
            </w:r>
            <w:r>
              <w:rPr>
                <w:rFonts w:hint="eastAsia" w:ascii="宋体" w:hAnsi="宋体" w:cs="宋体"/>
                <w:sz w:val="22"/>
                <w:szCs w:val="22"/>
                <w:highlight w:val="none"/>
                <w:lang w:eastAsia="zh-CN"/>
              </w:rPr>
              <w:t>支付违约金</w:t>
            </w:r>
            <w:r>
              <w:rPr>
                <w:rFonts w:hint="eastAsia" w:ascii="宋体" w:hAnsi="宋体" w:eastAsia="宋体" w:cs="宋体"/>
                <w:sz w:val="22"/>
                <w:szCs w:val="22"/>
                <w:highlight w:val="none"/>
              </w:rPr>
              <w:t>500元。</w:t>
            </w:r>
          </w:p>
        </w:tc>
      </w:tr>
      <w:tr w14:paraId="7A6C7E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30" w:type="pct"/>
            <w:tcBorders>
              <w:top w:val="single" w:color="000000" w:sz="4" w:space="0"/>
              <w:left w:val="single" w:color="000000" w:sz="4" w:space="0"/>
              <w:bottom w:val="single" w:color="000000" w:sz="4" w:space="0"/>
              <w:right w:val="single" w:color="000000" w:sz="4" w:space="0"/>
            </w:tcBorders>
            <w:noWrap w:val="0"/>
            <w:vAlign w:val="center"/>
          </w:tcPr>
          <w:p w14:paraId="46FCB421">
            <w:pPr>
              <w:spacing w:line="240" w:lineRule="auto"/>
              <w:ind w:firstLine="0" w:firstLineChars="0"/>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5</w:t>
            </w:r>
          </w:p>
        </w:tc>
        <w:tc>
          <w:tcPr>
            <w:tcW w:w="1375" w:type="pct"/>
            <w:tcBorders>
              <w:top w:val="single" w:color="000000" w:sz="4" w:space="0"/>
              <w:left w:val="single" w:color="000000" w:sz="4" w:space="0"/>
              <w:bottom w:val="single" w:color="000000" w:sz="4" w:space="0"/>
              <w:right w:val="single" w:color="000000" w:sz="4" w:space="0"/>
            </w:tcBorders>
            <w:noWrap w:val="0"/>
            <w:vAlign w:val="center"/>
          </w:tcPr>
          <w:p w14:paraId="5FAFF2C5">
            <w:pPr>
              <w:spacing w:line="240" w:lineRule="auto"/>
              <w:ind w:firstLine="0" w:firstLineChars="0"/>
              <w:rPr>
                <w:rFonts w:hint="eastAsia" w:ascii="宋体" w:hAnsi="宋体" w:eastAsia="宋体" w:cs="宋体"/>
                <w:sz w:val="22"/>
                <w:szCs w:val="22"/>
                <w:highlight w:val="none"/>
              </w:rPr>
            </w:pPr>
            <w:r>
              <w:rPr>
                <w:rFonts w:hint="eastAsia" w:ascii="宋体" w:hAnsi="宋体" w:eastAsia="宋体" w:cs="宋体"/>
                <w:sz w:val="22"/>
                <w:szCs w:val="22"/>
                <w:highlight w:val="none"/>
              </w:rPr>
              <w:t>活动用餐必须保质保量完成。</w:t>
            </w:r>
          </w:p>
        </w:tc>
        <w:tc>
          <w:tcPr>
            <w:tcW w:w="635" w:type="pct"/>
            <w:tcBorders>
              <w:top w:val="single" w:color="000000" w:sz="4" w:space="0"/>
              <w:left w:val="single" w:color="000000" w:sz="4" w:space="0"/>
              <w:bottom w:val="single" w:color="000000" w:sz="4" w:space="0"/>
              <w:right w:val="single" w:color="000000" w:sz="4" w:space="0"/>
            </w:tcBorders>
            <w:noWrap w:val="0"/>
            <w:vAlign w:val="center"/>
          </w:tcPr>
          <w:p w14:paraId="2D49ECE3">
            <w:pPr>
              <w:spacing w:line="240" w:lineRule="auto"/>
              <w:ind w:firstLine="0" w:firstLineChars="0"/>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合格</w:t>
            </w:r>
          </w:p>
        </w:tc>
        <w:tc>
          <w:tcPr>
            <w:tcW w:w="2558" w:type="pct"/>
            <w:tcBorders>
              <w:top w:val="single" w:color="000000" w:sz="4" w:space="0"/>
              <w:left w:val="single" w:color="000000" w:sz="4" w:space="0"/>
              <w:bottom w:val="single" w:color="000000" w:sz="4" w:space="0"/>
              <w:right w:val="single" w:color="000000" w:sz="4" w:space="0"/>
            </w:tcBorders>
            <w:noWrap w:val="0"/>
            <w:vAlign w:val="center"/>
          </w:tcPr>
          <w:p w14:paraId="637C8ED3">
            <w:pPr>
              <w:spacing w:line="240" w:lineRule="auto"/>
              <w:ind w:firstLine="0" w:firstLineChars="0"/>
              <w:rPr>
                <w:rFonts w:hint="eastAsia" w:ascii="宋体" w:hAnsi="宋体" w:eastAsia="宋体" w:cs="宋体"/>
                <w:sz w:val="22"/>
                <w:szCs w:val="22"/>
                <w:highlight w:val="none"/>
              </w:rPr>
            </w:pPr>
            <w:r>
              <w:rPr>
                <w:rFonts w:hint="eastAsia" w:ascii="宋体" w:hAnsi="宋体" w:eastAsia="宋体" w:cs="宋体"/>
                <w:sz w:val="22"/>
                <w:szCs w:val="22"/>
                <w:highlight w:val="none"/>
              </w:rPr>
              <w:t>一次未按质量完成，</w:t>
            </w:r>
            <w:r>
              <w:rPr>
                <w:rFonts w:hint="eastAsia" w:ascii="宋体" w:hAnsi="宋体" w:cs="宋体"/>
                <w:sz w:val="22"/>
                <w:szCs w:val="22"/>
                <w:highlight w:val="none"/>
                <w:lang w:eastAsia="zh-CN"/>
              </w:rPr>
              <w:t>支付违约金</w:t>
            </w:r>
            <w:r>
              <w:rPr>
                <w:rFonts w:hint="eastAsia" w:ascii="宋体" w:hAnsi="宋体" w:eastAsia="宋体" w:cs="宋体"/>
                <w:sz w:val="22"/>
                <w:szCs w:val="22"/>
                <w:highlight w:val="none"/>
              </w:rPr>
              <w:t>500元。</w:t>
            </w:r>
          </w:p>
        </w:tc>
      </w:tr>
      <w:tr w14:paraId="28A490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30" w:type="pct"/>
            <w:tcBorders>
              <w:top w:val="single" w:color="000000" w:sz="4" w:space="0"/>
              <w:left w:val="single" w:color="000000" w:sz="4" w:space="0"/>
              <w:bottom w:val="single" w:color="000000" w:sz="4" w:space="0"/>
              <w:right w:val="single" w:color="000000" w:sz="4" w:space="0"/>
            </w:tcBorders>
            <w:noWrap w:val="0"/>
            <w:vAlign w:val="center"/>
          </w:tcPr>
          <w:p w14:paraId="463E28B5">
            <w:pPr>
              <w:spacing w:line="240" w:lineRule="auto"/>
              <w:ind w:firstLine="0" w:firstLineChars="0"/>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6</w:t>
            </w:r>
          </w:p>
        </w:tc>
        <w:tc>
          <w:tcPr>
            <w:tcW w:w="1375" w:type="pct"/>
            <w:tcBorders>
              <w:top w:val="single" w:color="000000" w:sz="4" w:space="0"/>
              <w:left w:val="single" w:color="000000" w:sz="4" w:space="0"/>
              <w:bottom w:val="single" w:color="000000" w:sz="4" w:space="0"/>
              <w:right w:val="single" w:color="000000" w:sz="4" w:space="0"/>
            </w:tcBorders>
            <w:noWrap w:val="0"/>
            <w:vAlign w:val="center"/>
          </w:tcPr>
          <w:p w14:paraId="4EFCAC58">
            <w:pPr>
              <w:spacing w:line="240" w:lineRule="auto"/>
              <w:ind w:firstLine="0" w:firstLineChars="0"/>
              <w:rPr>
                <w:rFonts w:hint="eastAsia" w:ascii="宋体" w:hAnsi="宋体" w:eastAsia="宋体" w:cs="宋体"/>
                <w:sz w:val="22"/>
                <w:szCs w:val="22"/>
                <w:highlight w:val="none"/>
              </w:rPr>
            </w:pPr>
            <w:r>
              <w:rPr>
                <w:rFonts w:hint="eastAsia" w:ascii="宋体" w:hAnsi="宋体" w:eastAsia="宋体" w:cs="宋体"/>
                <w:sz w:val="22"/>
                <w:szCs w:val="22"/>
                <w:highlight w:val="none"/>
              </w:rPr>
              <w:t>原材料及生、熟食品必须分开存放。</w:t>
            </w:r>
          </w:p>
        </w:tc>
        <w:tc>
          <w:tcPr>
            <w:tcW w:w="635" w:type="pct"/>
            <w:tcBorders>
              <w:top w:val="single" w:color="000000" w:sz="4" w:space="0"/>
              <w:left w:val="single" w:color="000000" w:sz="4" w:space="0"/>
              <w:bottom w:val="single" w:color="000000" w:sz="4" w:space="0"/>
              <w:right w:val="single" w:color="000000" w:sz="4" w:space="0"/>
            </w:tcBorders>
            <w:noWrap w:val="0"/>
            <w:vAlign w:val="center"/>
          </w:tcPr>
          <w:p w14:paraId="3B524318">
            <w:pPr>
              <w:spacing w:line="240" w:lineRule="auto"/>
              <w:ind w:firstLine="0" w:firstLineChars="0"/>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合格</w:t>
            </w:r>
          </w:p>
        </w:tc>
        <w:tc>
          <w:tcPr>
            <w:tcW w:w="2558" w:type="pct"/>
            <w:tcBorders>
              <w:top w:val="single" w:color="000000" w:sz="4" w:space="0"/>
              <w:left w:val="single" w:color="000000" w:sz="4" w:space="0"/>
              <w:bottom w:val="single" w:color="000000" w:sz="4" w:space="0"/>
              <w:right w:val="single" w:color="000000" w:sz="4" w:space="0"/>
            </w:tcBorders>
            <w:noWrap w:val="0"/>
            <w:vAlign w:val="center"/>
          </w:tcPr>
          <w:p w14:paraId="07BCF201">
            <w:pPr>
              <w:spacing w:line="240" w:lineRule="auto"/>
              <w:ind w:firstLine="0" w:firstLineChars="0"/>
              <w:rPr>
                <w:rFonts w:hint="eastAsia" w:ascii="宋体" w:hAnsi="宋体" w:eastAsia="宋体" w:cs="宋体"/>
                <w:sz w:val="22"/>
                <w:szCs w:val="22"/>
                <w:highlight w:val="none"/>
              </w:rPr>
            </w:pPr>
            <w:r>
              <w:rPr>
                <w:rFonts w:hint="eastAsia" w:ascii="宋体" w:hAnsi="宋体" w:eastAsia="宋体" w:cs="宋体"/>
                <w:sz w:val="22"/>
                <w:szCs w:val="22"/>
                <w:highlight w:val="none"/>
              </w:rPr>
              <w:t>检查一次食品或原材料未按要求存放，</w:t>
            </w:r>
            <w:r>
              <w:rPr>
                <w:rFonts w:hint="eastAsia" w:ascii="宋体" w:hAnsi="宋体" w:cs="宋体"/>
                <w:sz w:val="22"/>
                <w:szCs w:val="22"/>
                <w:highlight w:val="none"/>
                <w:lang w:eastAsia="zh-CN"/>
              </w:rPr>
              <w:t>支付违约金</w:t>
            </w:r>
            <w:r>
              <w:rPr>
                <w:rFonts w:hint="eastAsia" w:ascii="宋体" w:hAnsi="宋体" w:eastAsia="宋体" w:cs="宋体"/>
                <w:sz w:val="22"/>
                <w:szCs w:val="22"/>
                <w:highlight w:val="none"/>
              </w:rPr>
              <w:t>500元。</w:t>
            </w:r>
          </w:p>
        </w:tc>
      </w:tr>
      <w:tr w14:paraId="1932B6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30" w:type="pct"/>
            <w:tcBorders>
              <w:top w:val="single" w:color="000000" w:sz="4" w:space="0"/>
              <w:left w:val="single" w:color="000000" w:sz="4" w:space="0"/>
              <w:bottom w:val="single" w:color="000000" w:sz="4" w:space="0"/>
              <w:right w:val="single" w:color="000000" w:sz="4" w:space="0"/>
            </w:tcBorders>
            <w:noWrap w:val="0"/>
            <w:vAlign w:val="center"/>
          </w:tcPr>
          <w:p w14:paraId="3A0482B2">
            <w:pPr>
              <w:spacing w:line="240" w:lineRule="auto"/>
              <w:ind w:firstLine="0" w:firstLineChars="0"/>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7</w:t>
            </w:r>
          </w:p>
        </w:tc>
        <w:tc>
          <w:tcPr>
            <w:tcW w:w="1375" w:type="pct"/>
            <w:tcBorders>
              <w:top w:val="single" w:color="000000" w:sz="4" w:space="0"/>
              <w:left w:val="single" w:color="000000" w:sz="4" w:space="0"/>
              <w:bottom w:val="single" w:color="000000" w:sz="4" w:space="0"/>
              <w:right w:val="single" w:color="000000" w:sz="4" w:space="0"/>
            </w:tcBorders>
            <w:noWrap w:val="0"/>
            <w:vAlign w:val="center"/>
          </w:tcPr>
          <w:p w14:paraId="5D687BE3">
            <w:pPr>
              <w:spacing w:line="240" w:lineRule="auto"/>
              <w:ind w:firstLine="0" w:firstLineChars="0"/>
              <w:rPr>
                <w:rFonts w:hint="eastAsia" w:ascii="宋体" w:hAnsi="宋体" w:eastAsia="宋体" w:cs="宋体"/>
                <w:sz w:val="22"/>
                <w:szCs w:val="22"/>
                <w:highlight w:val="none"/>
              </w:rPr>
            </w:pPr>
            <w:r>
              <w:rPr>
                <w:rFonts w:hint="eastAsia" w:ascii="宋体" w:hAnsi="宋体" w:eastAsia="宋体" w:cs="宋体"/>
                <w:sz w:val="22"/>
                <w:szCs w:val="22"/>
                <w:highlight w:val="none"/>
              </w:rPr>
              <w:t>每半月对隔油池和抽油烟机定期进行清理和清洗（费用由</w:t>
            </w:r>
            <w:r>
              <w:rPr>
                <w:rStyle w:val="57"/>
                <w:rFonts w:hint="eastAsia" w:ascii="宋体" w:hAnsi="宋体" w:eastAsia="宋体" w:cs="宋体"/>
                <w:b w:val="0"/>
                <w:i w:val="0"/>
                <w:caps w:val="0"/>
                <w:spacing w:val="0"/>
                <w:w w:val="100"/>
                <w:kern w:val="2"/>
                <w:sz w:val="22"/>
                <w:szCs w:val="22"/>
                <w:highlight w:val="none"/>
                <w:lang w:eastAsia="zh-CN" w:bidi="ar-SA"/>
              </w:rPr>
              <w:t>中标人</w:t>
            </w:r>
            <w:r>
              <w:rPr>
                <w:rFonts w:hint="eastAsia" w:ascii="宋体" w:hAnsi="宋体" w:eastAsia="宋体" w:cs="宋体"/>
                <w:sz w:val="22"/>
                <w:szCs w:val="22"/>
                <w:highlight w:val="none"/>
              </w:rPr>
              <w:t>负责）。</w:t>
            </w:r>
          </w:p>
        </w:tc>
        <w:tc>
          <w:tcPr>
            <w:tcW w:w="635" w:type="pct"/>
            <w:tcBorders>
              <w:top w:val="single" w:color="000000" w:sz="4" w:space="0"/>
              <w:left w:val="single" w:color="000000" w:sz="4" w:space="0"/>
              <w:bottom w:val="single" w:color="000000" w:sz="4" w:space="0"/>
              <w:right w:val="single" w:color="000000" w:sz="4" w:space="0"/>
            </w:tcBorders>
            <w:noWrap w:val="0"/>
            <w:vAlign w:val="center"/>
          </w:tcPr>
          <w:p w14:paraId="17CFCC05">
            <w:pPr>
              <w:spacing w:line="240" w:lineRule="auto"/>
              <w:ind w:firstLine="0" w:firstLineChars="0"/>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及时清洁</w:t>
            </w:r>
          </w:p>
        </w:tc>
        <w:tc>
          <w:tcPr>
            <w:tcW w:w="2558" w:type="pct"/>
            <w:tcBorders>
              <w:top w:val="single" w:color="000000" w:sz="4" w:space="0"/>
              <w:left w:val="single" w:color="000000" w:sz="4" w:space="0"/>
              <w:bottom w:val="single" w:color="000000" w:sz="4" w:space="0"/>
              <w:right w:val="single" w:color="000000" w:sz="4" w:space="0"/>
            </w:tcBorders>
            <w:noWrap w:val="0"/>
            <w:vAlign w:val="center"/>
          </w:tcPr>
          <w:p w14:paraId="6AB1CB64">
            <w:pPr>
              <w:spacing w:line="240" w:lineRule="auto"/>
              <w:ind w:firstLine="0" w:firstLineChars="0"/>
              <w:rPr>
                <w:rFonts w:hint="eastAsia" w:ascii="宋体" w:hAnsi="宋体" w:eastAsia="宋体" w:cs="宋体"/>
                <w:sz w:val="22"/>
                <w:szCs w:val="22"/>
                <w:highlight w:val="none"/>
              </w:rPr>
            </w:pPr>
            <w:r>
              <w:rPr>
                <w:rFonts w:hint="eastAsia" w:ascii="宋体" w:hAnsi="宋体" w:eastAsia="宋体" w:cs="宋体"/>
                <w:sz w:val="22"/>
                <w:szCs w:val="22"/>
                <w:highlight w:val="none"/>
              </w:rPr>
              <w:t>检查一次未清理，</w:t>
            </w:r>
            <w:r>
              <w:rPr>
                <w:rFonts w:hint="eastAsia" w:ascii="宋体" w:hAnsi="宋体" w:cs="宋体"/>
                <w:sz w:val="22"/>
                <w:szCs w:val="22"/>
                <w:highlight w:val="none"/>
                <w:lang w:eastAsia="zh-CN"/>
              </w:rPr>
              <w:t>支付违约金</w:t>
            </w:r>
            <w:r>
              <w:rPr>
                <w:rFonts w:hint="eastAsia" w:ascii="宋体" w:hAnsi="宋体" w:eastAsia="宋体" w:cs="宋体"/>
                <w:sz w:val="22"/>
                <w:szCs w:val="22"/>
                <w:highlight w:val="none"/>
              </w:rPr>
              <w:t>500元。</w:t>
            </w:r>
          </w:p>
        </w:tc>
      </w:tr>
      <w:tr w14:paraId="2B4B35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30" w:type="pct"/>
            <w:tcBorders>
              <w:top w:val="single" w:color="000000" w:sz="4" w:space="0"/>
              <w:left w:val="single" w:color="000000" w:sz="4" w:space="0"/>
              <w:bottom w:val="single" w:color="000000" w:sz="4" w:space="0"/>
              <w:right w:val="single" w:color="000000" w:sz="4" w:space="0"/>
            </w:tcBorders>
            <w:noWrap w:val="0"/>
            <w:vAlign w:val="center"/>
          </w:tcPr>
          <w:p w14:paraId="17A5D527">
            <w:pPr>
              <w:spacing w:line="240" w:lineRule="auto"/>
              <w:ind w:firstLine="0" w:firstLineChars="0"/>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8</w:t>
            </w:r>
          </w:p>
        </w:tc>
        <w:tc>
          <w:tcPr>
            <w:tcW w:w="1375" w:type="pct"/>
            <w:tcBorders>
              <w:top w:val="single" w:color="000000" w:sz="4" w:space="0"/>
              <w:left w:val="single" w:color="000000" w:sz="4" w:space="0"/>
              <w:bottom w:val="single" w:color="000000" w:sz="4" w:space="0"/>
              <w:right w:val="single" w:color="000000" w:sz="4" w:space="0"/>
            </w:tcBorders>
            <w:noWrap w:val="0"/>
            <w:vAlign w:val="center"/>
          </w:tcPr>
          <w:p w14:paraId="019C2476">
            <w:pPr>
              <w:spacing w:line="240" w:lineRule="auto"/>
              <w:ind w:firstLine="0" w:firstLineChars="0"/>
              <w:rPr>
                <w:rFonts w:hint="eastAsia" w:ascii="宋体" w:hAnsi="宋体" w:eastAsia="宋体" w:cs="宋体"/>
                <w:sz w:val="22"/>
                <w:szCs w:val="22"/>
                <w:highlight w:val="none"/>
              </w:rPr>
            </w:pPr>
            <w:r>
              <w:rPr>
                <w:rFonts w:hint="eastAsia" w:ascii="宋体" w:hAnsi="宋体" w:eastAsia="宋体" w:cs="宋体"/>
                <w:sz w:val="22"/>
                <w:szCs w:val="22"/>
                <w:highlight w:val="none"/>
              </w:rPr>
              <w:t>每餐做好台帐和动物检疫证登记接受采购人或上级领导组织的检查和监督。</w:t>
            </w:r>
          </w:p>
        </w:tc>
        <w:tc>
          <w:tcPr>
            <w:tcW w:w="635" w:type="pct"/>
            <w:tcBorders>
              <w:top w:val="single" w:color="000000" w:sz="4" w:space="0"/>
              <w:left w:val="single" w:color="000000" w:sz="4" w:space="0"/>
              <w:bottom w:val="single" w:color="000000" w:sz="4" w:space="0"/>
              <w:right w:val="single" w:color="000000" w:sz="4" w:space="0"/>
            </w:tcBorders>
            <w:noWrap w:val="0"/>
            <w:vAlign w:val="center"/>
          </w:tcPr>
          <w:p w14:paraId="1C8799A9">
            <w:pPr>
              <w:spacing w:line="240" w:lineRule="auto"/>
              <w:ind w:firstLine="0" w:firstLineChars="0"/>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合格</w:t>
            </w:r>
          </w:p>
        </w:tc>
        <w:tc>
          <w:tcPr>
            <w:tcW w:w="2558" w:type="pct"/>
            <w:tcBorders>
              <w:top w:val="single" w:color="000000" w:sz="4" w:space="0"/>
              <w:left w:val="single" w:color="000000" w:sz="4" w:space="0"/>
              <w:bottom w:val="single" w:color="000000" w:sz="4" w:space="0"/>
              <w:right w:val="single" w:color="000000" w:sz="4" w:space="0"/>
            </w:tcBorders>
            <w:noWrap w:val="0"/>
            <w:vAlign w:val="center"/>
          </w:tcPr>
          <w:p w14:paraId="36CCDB9C">
            <w:pPr>
              <w:spacing w:line="240" w:lineRule="auto"/>
              <w:ind w:firstLine="0" w:firstLineChars="0"/>
              <w:rPr>
                <w:rFonts w:hint="eastAsia" w:ascii="宋体" w:hAnsi="宋体" w:eastAsia="宋体" w:cs="宋体"/>
                <w:sz w:val="22"/>
                <w:szCs w:val="22"/>
                <w:highlight w:val="none"/>
              </w:rPr>
            </w:pPr>
            <w:r>
              <w:rPr>
                <w:rFonts w:hint="eastAsia" w:ascii="宋体" w:hAnsi="宋体" w:eastAsia="宋体" w:cs="宋体"/>
                <w:sz w:val="22"/>
                <w:szCs w:val="22"/>
                <w:highlight w:val="none"/>
              </w:rPr>
              <w:t>检查一项一次未合格，</w:t>
            </w:r>
            <w:r>
              <w:rPr>
                <w:rFonts w:hint="eastAsia" w:ascii="宋体" w:hAnsi="宋体" w:cs="宋体"/>
                <w:sz w:val="22"/>
                <w:szCs w:val="22"/>
                <w:highlight w:val="none"/>
                <w:lang w:eastAsia="zh-CN"/>
              </w:rPr>
              <w:t>支付违约金</w:t>
            </w:r>
            <w:r>
              <w:rPr>
                <w:rFonts w:hint="eastAsia" w:ascii="宋体" w:hAnsi="宋体" w:eastAsia="宋体" w:cs="宋体"/>
                <w:sz w:val="22"/>
                <w:szCs w:val="22"/>
                <w:highlight w:val="none"/>
              </w:rPr>
              <w:t>500元。</w:t>
            </w:r>
          </w:p>
        </w:tc>
      </w:tr>
      <w:tr w14:paraId="1F4551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30" w:type="pct"/>
            <w:tcBorders>
              <w:top w:val="single" w:color="000000" w:sz="4" w:space="0"/>
              <w:left w:val="single" w:color="000000" w:sz="4" w:space="0"/>
              <w:bottom w:val="single" w:color="000000" w:sz="4" w:space="0"/>
              <w:right w:val="single" w:color="000000" w:sz="4" w:space="0"/>
            </w:tcBorders>
            <w:noWrap w:val="0"/>
            <w:vAlign w:val="center"/>
          </w:tcPr>
          <w:p w14:paraId="2D0472A6">
            <w:pPr>
              <w:spacing w:line="240" w:lineRule="auto"/>
              <w:ind w:firstLine="0" w:firstLineChars="0"/>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9</w:t>
            </w:r>
          </w:p>
        </w:tc>
        <w:tc>
          <w:tcPr>
            <w:tcW w:w="1375" w:type="pct"/>
            <w:tcBorders>
              <w:top w:val="single" w:color="000000" w:sz="4" w:space="0"/>
              <w:left w:val="single" w:color="000000" w:sz="4" w:space="0"/>
              <w:bottom w:val="single" w:color="000000" w:sz="4" w:space="0"/>
              <w:right w:val="single" w:color="000000" w:sz="4" w:space="0"/>
            </w:tcBorders>
            <w:noWrap w:val="0"/>
            <w:vAlign w:val="center"/>
          </w:tcPr>
          <w:p w14:paraId="3E384F67">
            <w:pPr>
              <w:spacing w:line="240" w:lineRule="auto"/>
              <w:ind w:firstLine="0" w:firstLineChars="0"/>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rPr>
              <w:t>杜绝食品安全事故</w:t>
            </w:r>
            <w:r>
              <w:rPr>
                <w:rFonts w:hint="eastAsia" w:ascii="宋体" w:hAnsi="宋体" w:eastAsia="宋体" w:cs="宋体"/>
                <w:sz w:val="22"/>
                <w:szCs w:val="22"/>
                <w:highlight w:val="none"/>
                <w:lang w:eastAsia="zh-CN"/>
              </w:rPr>
              <w:t>。</w:t>
            </w:r>
          </w:p>
        </w:tc>
        <w:tc>
          <w:tcPr>
            <w:tcW w:w="635" w:type="pct"/>
            <w:tcBorders>
              <w:top w:val="single" w:color="000000" w:sz="4" w:space="0"/>
              <w:left w:val="single" w:color="000000" w:sz="4" w:space="0"/>
              <w:bottom w:val="single" w:color="000000" w:sz="4" w:space="0"/>
              <w:right w:val="single" w:color="000000" w:sz="4" w:space="0"/>
            </w:tcBorders>
            <w:noWrap w:val="0"/>
            <w:vAlign w:val="center"/>
          </w:tcPr>
          <w:p w14:paraId="32C7ED1B">
            <w:pPr>
              <w:spacing w:line="240" w:lineRule="auto"/>
              <w:ind w:firstLine="0" w:firstLineChars="0"/>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合格</w:t>
            </w:r>
          </w:p>
        </w:tc>
        <w:tc>
          <w:tcPr>
            <w:tcW w:w="2558" w:type="pct"/>
            <w:tcBorders>
              <w:top w:val="single" w:color="000000" w:sz="4" w:space="0"/>
              <w:left w:val="single" w:color="000000" w:sz="4" w:space="0"/>
              <w:bottom w:val="single" w:color="000000" w:sz="4" w:space="0"/>
              <w:right w:val="single" w:color="000000" w:sz="4" w:space="0"/>
            </w:tcBorders>
            <w:noWrap w:val="0"/>
            <w:vAlign w:val="center"/>
          </w:tcPr>
          <w:p w14:paraId="035EED8F">
            <w:pPr>
              <w:spacing w:line="240" w:lineRule="auto"/>
              <w:ind w:firstLine="0" w:firstLineChars="0"/>
              <w:rPr>
                <w:rFonts w:hint="eastAsia" w:ascii="宋体" w:hAnsi="宋体" w:eastAsia="宋体" w:cs="宋体"/>
                <w:sz w:val="22"/>
                <w:szCs w:val="22"/>
                <w:highlight w:val="none"/>
              </w:rPr>
            </w:pPr>
            <w:r>
              <w:rPr>
                <w:rFonts w:hint="eastAsia" w:ascii="宋体" w:hAnsi="宋体" w:eastAsia="宋体" w:cs="宋体"/>
                <w:sz w:val="22"/>
                <w:szCs w:val="22"/>
                <w:highlight w:val="none"/>
              </w:rPr>
              <w:t>发现一次食品安全事故，根据情节进行处罚，招标人可</w:t>
            </w:r>
            <w:r>
              <w:rPr>
                <w:rFonts w:hint="default" w:ascii="宋体" w:hAnsi="宋体" w:eastAsia="宋体" w:cs="宋体"/>
                <w:sz w:val="22"/>
                <w:szCs w:val="22"/>
                <w:highlight w:val="none"/>
              </w:rPr>
              <w:t>终止</w:t>
            </w:r>
            <w:r>
              <w:rPr>
                <w:rFonts w:hint="eastAsia" w:ascii="宋体" w:hAnsi="宋体" w:eastAsia="宋体" w:cs="宋体"/>
                <w:sz w:val="22"/>
                <w:szCs w:val="22"/>
                <w:highlight w:val="none"/>
              </w:rPr>
              <w:t>合同并追究法律责任。</w:t>
            </w:r>
          </w:p>
        </w:tc>
      </w:tr>
      <w:tr w14:paraId="110ADF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30" w:type="pct"/>
            <w:tcBorders>
              <w:top w:val="single" w:color="000000" w:sz="4" w:space="0"/>
              <w:left w:val="single" w:color="000000" w:sz="4" w:space="0"/>
              <w:bottom w:val="single" w:color="000000" w:sz="4" w:space="0"/>
              <w:right w:val="single" w:color="000000" w:sz="4" w:space="0"/>
            </w:tcBorders>
            <w:noWrap w:val="0"/>
            <w:vAlign w:val="center"/>
          </w:tcPr>
          <w:p w14:paraId="15D03E73">
            <w:pPr>
              <w:spacing w:line="240" w:lineRule="auto"/>
              <w:ind w:firstLine="0" w:firstLineChars="0"/>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10</w:t>
            </w:r>
          </w:p>
        </w:tc>
        <w:tc>
          <w:tcPr>
            <w:tcW w:w="1375" w:type="pct"/>
            <w:tcBorders>
              <w:top w:val="single" w:color="000000" w:sz="4" w:space="0"/>
              <w:left w:val="single" w:color="000000" w:sz="4" w:space="0"/>
              <w:bottom w:val="single" w:color="000000" w:sz="4" w:space="0"/>
              <w:right w:val="single" w:color="000000" w:sz="4" w:space="0"/>
            </w:tcBorders>
            <w:noWrap w:val="0"/>
            <w:vAlign w:val="center"/>
          </w:tcPr>
          <w:p w14:paraId="6243DAB9">
            <w:pPr>
              <w:spacing w:line="240" w:lineRule="auto"/>
              <w:ind w:firstLine="0" w:firstLineChars="0"/>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rPr>
              <w:t>员工专业培训合格率</w:t>
            </w:r>
            <w:r>
              <w:rPr>
                <w:rFonts w:hint="eastAsia" w:ascii="宋体" w:hAnsi="宋体" w:eastAsia="宋体" w:cs="宋体"/>
                <w:sz w:val="22"/>
                <w:szCs w:val="22"/>
                <w:highlight w:val="none"/>
                <w:lang w:eastAsia="zh-CN"/>
              </w:rPr>
              <w:t>。</w:t>
            </w:r>
          </w:p>
        </w:tc>
        <w:tc>
          <w:tcPr>
            <w:tcW w:w="635" w:type="pct"/>
            <w:tcBorders>
              <w:top w:val="single" w:color="000000" w:sz="4" w:space="0"/>
              <w:left w:val="single" w:color="000000" w:sz="4" w:space="0"/>
              <w:bottom w:val="single" w:color="000000" w:sz="4" w:space="0"/>
              <w:right w:val="single" w:color="000000" w:sz="4" w:space="0"/>
            </w:tcBorders>
            <w:noWrap w:val="0"/>
            <w:vAlign w:val="center"/>
          </w:tcPr>
          <w:p w14:paraId="2D85EB6F">
            <w:pPr>
              <w:spacing w:line="240" w:lineRule="auto"/>
              <w:ind w:firstLine="0" w:firstLineChars="0"/>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100%合格</w:t>
            </w:r>
          </w:p>
        </w:tc>
        <w:tc>
          <w:tcPr>
            <w:tcW w:w="2558" w:type="pct"/>
            <w:tcBorders>
              <w:top w:val="single" w:color="000000" w:sz="4" w:space="0"/>
              <w:left w:val="single" w:color="000000" w:sz="4" w:space="0"/>
              <w:bottom w:val="single" w:color="000000" w:sz="4" w:space="0"/>
              <w:right w:val="single" w:color="000000" w:sz="4" w:space="0"/>
            </w:tcBorders>
            <w:noWrap w:val="0"/>
            <w:vAlign w:val="center"/>
          </w:tcPr>
          <w:p w14:paraId="083E2D2B">
            <w:pPr>
              <w:spacing w:line="240" w:lineRule="auto"/>
              <w:ind w:firstLine="0" w:firstLineChars="0"/>
              <w:rPr>
                <w:rFonts w:hint="eastAsia" w:ascii="宋体" w:hAnsi="宋体" w:eastAsia="宋体" w:cs="宋体"/>
                <w:sz w:val="22"/>
                <w:szCs w:val="22"/>
                <w:highlight w:val="none"/>
              </w:rPr>
            </w:pPr>
            <w:r>
              <w:rPr>
                <w:rFonts w:hint="eastAsia" w:ascii="宋体" w:hAnsi="宋体" w:eastAsia="宋体" w:cs="宋体"/>
                <w:sz w:val="22"/>
                <w:szCs w:val="22"/>
                <w:highlight w:val="none"/>
              </w:rPr>
              <w:t>建立培训考核制度，对员工分别进行入职、在职及升职的培训，并予以考核，不合格者淘汰，确保培训合格率达标，以此确保员工的高素质。检查一次未合格，</w:t>
            </w:r>
            <w:r>
              <w:rPr>
                <w:rFonts w:hint="eastAsia" w:ascii="宋体" w:hAnsi="宋体" w:cs="宋体"/>
                <w:sz w:val="22"/>
                <w:szCs w:val="22"/>
                <w:highlight w:val="none"/>
                <w:lang w:eastAsia="zh-CN"/>
              </w:rPr>
              <w:t>支付违约金</w:t>
            </w:r>
            <w:r>
              <w:rPr>
                <w:rFonts w:hint="eastAsia" w:ascii="宋体" w:hAnsi="宋体" w:eastAsia="宋体" w:cs="宋体"/>
                <w:sz w:val="22"/>
                <w:szCs w:val="22"/>
                <w:highlight w:val="none"/>
              </w:rPr>
              <w:t>500元。</w:t>
            </w:r>
          </w:p>
        </w:tc>
      </w:tr>
      <w:tr w14:paraId="7BF972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30" w:type="pct"/>
            <w:tcBorders>
              <w:top w:val="single" w:color="000000" w:sz="4" w:space="0"/>
              <w:left w:val="single" w:color="000000" w:sz="4" w:space="0"/>
              <w:bottom w:val="single" w:color="000000" w:sz="4" w:space="0"/>
              <w:right w:val="single" w:color="000000" w:sz="4" w:space="0"/>
            </w:tcBorders>
            <w:noWrap w:val="0"/>
            <w:vAlign w:val="center"/>
          </w:tcPr>
          <w:p w14:paraId="6F6C4736">
            <w:pPr>
              <w:spacing w:line="240" w:lineRule="auto"/>
              <w:ind w:firstLine="0" w:firstLineChars="0"/>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11</w:t>
            </w:r>
          </w:p>
        </w:tc>
        <w:tc>
          <w:tcPr>
            <w:tcW w:w="1375" w:type="pct"/>
            <w:tcBorders>
              <w:top w:val="single" w:color="000000" w:sz="4" w:space="0"/>
              <w:left w:val="single" w:color="000000" w:sz="4" w:space="0"/>
              <w:bottom w:val="single" w:color="000000" w:sz="4" w:space="0"/>
              <w:right w:val="single" w:color="000000" w:sz="4" w:space="0"/>
            </w:tcBorders>
            <w:noWrap w:val="0"/>
            <w:vAlign w:val="center"/>
          </w:tcPr>
          <w:p w14:paraId="12C7B739">
            <w:pPr>
              <w:spacing w:line="240" w:lineRule="auto"/>
              <w:ind w:firstLine="0" w:firstLineChars="0"/>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rPr>
              <w:t>环境卫生清洁必须及时、有效</w:t>
            </w:r>
            <w:r>
              <w:rPr>
                <w:rFonts w:hint="eastAsia" w:ascii="宋体" w:hAnsi="宋体" w:eastAsia="宋体" w:cs="宋体"/>
                <w:sz w:val="22"/>
                <w:szCs w:val="22"/>
                <w:highlight w:val="none"/>
                <w:lang w:eastAsia="zh-CN"/>
              </w:rPr>
              <w:t>。</w:t>
            </w:r>
          </w:p>
        </w:tc>
        <w:tc>
          <w:tcPr>
            <w:tcW w:w="635" w:type="pct"/>
            <w:tcBorders>
              <w:top w:val="single" w:color="000000" w:sz="4" w:space="0"/>
              <w:left w:val="single" w:color="000000" w:sz="4" w:space="0"/>
              <w:bottom w:val="single" w:color="000000" w:sz="4" w:space="0"/>
              <w:right w:val="single" w:color="000000" w:sz="4" w:space="0"/>
            </w:tcBorders>
            <w:noWrap w:val="0"/>
            <w:vAlign w:val="center"/>
          </w:tcPr>
          <w:p w14:paraId="49163E85">
            <w:pPr>
              <w:spacing w:line="240" w:lineRule="auto"/>
              <w:ind w:firstLine="0" w:firstLineChars="0"/>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合格</w:t>
            </w:r>
          </w:p>
        </w:tc>
        <w:tc>
          <w:tcPr>
            <w:tcW w:w="2558" w:type="pct"/>
            <w:tcBorders>
              <w:top w:val="single" w:color="000000" w:sz="4" w:space="0"/>
              <w:left w:val="single" w:color="000000" w:sz="4" w:space="0"/>
              <w:bottom w:val="single" w:color="000000" w:sz="4" w:space="0"/>
              <w:right w:val="single" w:color="000000" w:sz="4" w:space="0"/>
            </w:tcBorders>
            <w:noWrap w:val="0"/>
            <w:vAlign w:val="center"/>
          </w:tcPr>
          <w:p w14:paraId="6D672E67">
            <w:pPr>
              <w:spacing w:line="240" w:lineRule="auto"/>
              <w:ind w:firstLine="0" w:firstLineChars="0"/>
              <w:rPr>
                <w:rFonts w:hint="eastAsia" w:ascii="宋体" w:hAnsi="宋体" w:eastAsia="宋体" w:cs="宋体"/>
                <w:sz w:val="22"/>
                <w:szCs w:val="22"/>
                <w:highlight w:val="none"/>
              </w:rPr>
            </w:pPr>
            <w:r>
              <w:rPr>
                <w:rFonts w:hint="eastAsia" w:ascii="宋体" w:hAnsi="宋体" w:eastAsia="宋体" w:cs="宋体"/>
                <w:sz w:val="22"/>
                <w:szCs w:val="22"/>
                <w:highlight w:val="none"/>
              </w:rPr>
              <w:t>保证食堂餐厅室内外卫生清洁。食堂餐厅室内外卫生是指内到厨房卫生，外到餐厅、食堂洗手间及周边环境卫生，均由</w:t>
            </w:r>
            <w:r>
              <w:rPr>
                <w:rFonts w:hint="eastAsia" w:ascii="宋体" w:hAnsi="宋体" w:cs="宋体"/>
                <w:sz w:val="22"/>
                <w:szCs w:val="22"/>
                <w:highlight w:val="none"/>
                <w:lang w:eastAsia="zh-CN"/>
              </w:rPr>
              <w:t>乙方</w:t>
            </w:r>
            <w:r>
              <w:rPr>
                <w:rFonts w:hint="eastAsia" w:ascii="宋体" w:hAnsi="宋体" w:eastAsia="宋体" w:cs="宋体"/>
                <w:sz w:val="22"/>
                <w:szCs w:val="22"/>
                <w:highlight w:val="none"/>
              </w:rPr>
              <w:t>负责。各项餐饮标准都要达到国家有关标准规定。检查一次未合格，</w:t>
            </w:r>
            <w:r>
              <w:rPr>
                <w:rFonts w:hint="eastAsia" w:ascii="宋体" w:hAnsi="宋体" w:cs="宋体"/>
                <w:sz w:val="22"/>
                <w:szCs w:val="22"/>
                <w:highlight w:val="none"/>
                <w:lang w:eastAsia="zh-CN"/>
              </w:rPr>
              <w:t>支付违约金</w:t>
            </w:r>
            <w:r>
              <w:rPr>
                <w:rFonts w:hint="eastAsia" w:ascii="宋体" w:hAnsi="宋体" w:eastAsia="宋体" w:cs="宋体"/>
                <w:sz w:val="22"/>
                <w:szCs w:val="22"/>
                <w:highlight w:val="none"/>
              </w:rPr>
              <w:t>500元。</w:t>
            </w:r>
          </w:p>
        </w:tc>
      </w:tr>
      <w:tr w14:paraId="667365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30" w:type="pct"/>
            <w:tcBorders>
              <w:top w:val="single" w:color="000000" w:sz="4" w:space="0"/>
              <w:left w:val="single" w:color="000000" w:sz="4" w:space="0"/>
              <w:bottom w:val="single" w:color="000000" w:sz="4" w:space="0"/>
              <w:right w:val="single" w:color="000000" w:sz="4" w:space="0"/>
            </w:tcBorders>
            <w:noWrap w:val="0"/>
            <w:vAlign w:val="center"/>
          </w:tcPr>
          <w:p w14:paraId="4DFBE3BC">
            <w:pPr>
              <w:spacing w:line="240" w:lineRule="auto"/>
              <w:ind w:firstLine="0" w:firstLineChars="0"/>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12</w:t>
            </w:r>
          </w:p>
        </w:tc>
        <w:tc>
          <w:tcPr>
            <w:tcW w:w="1375" w:type="pct"/>
            <w:tcBorders>
              <w:top w:val="single" w:color="000000" w:sz="4" w:space="0"/>
              <w:left w:val="single" w:color="000000" w:sz="4" w:space="0"/>
              <w:bottom w:val="single" w:color="000000" w:sz="4" w:space="0"/>
              <w:right w:val="single" w:color="000000" w:sz="4" w:space="0"/>
            </w:tcBorders>
            <w:noWrap w:val="0"/>
            <w:vAlign w:val="center"/>
          </w:tcPr>
          <w:p w14:paraId="7AD840E9">
            <w:pPr>
              <w:spacing w:line="240" w:lineRule="auto"/>
              <w:ind w:firstLine="0" w:firstLineChars="0"/>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rPr>
              <w:t>个人卫生及仪容仪表</w:t>
            </w:r>
            <w:r>
              <w:rPr>
                <w:rFonts w:hint="eastAsia" w:ascii="宋体" w:hAnsi="宋体" w:eastAsia="宋体" w:cs="宋体"/>
                <w:sz w:val="22"/>
                <w:szCs w:val="22"/>
                <w:highlight w:val="none"/>
                <w:lang w:eastAsia="zh-CN"/>
              </w:rPr>
              <w:t>。</w:t>
            </w:r>
          </w:p>
        </w:tc>
        <w:tc>
          <w:tcPr>
            <w:tcW w:w="635" w:type="pct"/>
            <w:tcBorders>
              <w:top w:val="single" w:color="000000" w:sz="4" w:space="0"/>
              <w:left w:val="single" w:color="000000" w:sz="4" w:space="0"/>
              <w:bottom w:val="single" w:color="000000" w:sz="4" w:space="0"/>
              <w:right w:val="single" w:color="000000" w:sz="4" w:space="0"/>
            </w:tcBorders>
            <w:noWrap w:val="0"/>
            <w:vAlign w:val="center"/>
          </w:tcPr>
          <w:p w14:paraId="20D95B10">
            <w:pPr>
              <w:spacing w:line="240" w:lineRule="auto"/>
              <w:ind w:firstLine="0" w:firstLineChars="0"/>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合格</w:t>
            </w:r>
          </w:p>
        </w:tc>
        <w:tc>
          <w:tcPr>
            <w:tcW w:w="2558" w:type="pct"/>
            <w:tcBorders>
              <w:top w:val="single" w:color="000000" w:sz="4" w:space="0"/>
              <w:left w:val="single" w:color="000000" w:sz="4" w:space="0"/>
              <w:bottom w:val="single" w:color="000000" w:sz="4" w:space="0"/>
              <w:right w:val="single" w:color="000000" w:sz="4" w:space="0"/>
            </w:tcBorders>
            <w:noWrap w:val="0"/>
            <w:vAlign w:val="center"/>
          </w:tcPr>
          <w:p w14:paraId="71B1803B">
            <w:pPr>
              <w:spacing w:line="240" w:lineRule="auto"/>
              <w:ind w:firstLine="0" w:firstLineChars="0"/>
              <w:rPr>
                <w:rFonts w:hint="eastAsia" w:ascii="宋体" w:hAnsi="宋体" w:eastAsia="宋体" w:cs="宋体"/>
                <w:sz w:val="22"/>
                <w:szCs w:val="22"/>
                <w:highlight w:val="none"/>
              </w:rPr>
            </w:pPr>
            <w:r>
              <w:rPr>
                <w:rFonts w:hint="eastAsia" w:ascii="宋体" w:hAnsi="宋体" w:eastAsia="宋体" w:cs="宋体"/>
                <w:sz w:val="22"/>
                <w:szCs w:val="22"/>
                <w:highlight w:val="none"/>
              </w:rPr>
              <w:t>食堂工作人员穿白色干净饭堂工作服上岗，做好个人卫生，上完厕所必须洗手，不留长指甲、不涂指甲油、不披头散发、不佩戴戒指等有碍操作饰物在饭堂工作。检查一次未合格，</w:t>
            </w:r>
            <w:r>
              <w:rPr>
                <w:rFonts w:hint="eastAsia" w:ascii="宋体" w:hAnsi="宋体" w:cs="宋体"/>
                <w:sz w:val="22"/>
                <w:szCs w:val="22"/>
                <w:highlight w:val="none"/>
                <w:lang w:eastAsia="zh-CN"/>
              </w:rPr>
              <w:t>支付违约金</w:t>
            </w:r>
            <w:r>
              <w:rPr>
                <w:rFonts w:hint="eastAsia" w:ascii="宋体" w:hAnsi="宋体" w:eastAsia="宋体" w:cs="宋体"/>
                <w:sz w:val="22"/>
                <w:szCs w:val="22"/>
                <w:highlight w:val="none"/>
              </w:rPr>
              <w:t>500元。</w:t>
            </w:r>
          </w:p>
        </w:tc>
      </w:tr>
      <w:tr w14:paraId="1CFE06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30" w:type="pct"/>
            <w:tcBorders>
              <w:top w:val="single" w:color="000000" w:sz="4" w:space="0"/>
              <w:left w:val="single" w:color="000000" w:sz="4" w:space="0"/>
              <w:bottom w:val="single" w:color="000000" w:sz="4" w:space="0"/>
              <w:right w:val="single" w:color="000000" w:sz="4" w:space="0"/>
            </w:tcBorders>
            <w:noWrap w:val="0"/>
            <w:vAlign w:val="center"/>
          </w:tcPr>
          <w:p w14:paraId="3C1EE6A0">
            <w:pPr>
              <w:spacing w:line="240" w:lineRule="auto"/>
              <w:ind w:firstLine="0" w:firstLineChars="0"/>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13</w:t>
            </w:r>
          </w:p>
        </w:tc>
        <w:tc>
          <w:tcPr>
            <w:tcW w:w="1375" w:type="pct"/>
            <w:tcBorders>
              <w:top w:val="single" w:color="000000" w:sz="4" w:space="0"/>
              <w:left w:val="single" w:color="000000" w:sz="4" w:space="0"/>
              <w:bottom w:val="single" w:color="000000" w:sz="4" w:space="0"/>
              <w:right w:val="single" w:color="000000" w:sz="4" w:space="0"/>
            </w:tcBorders>
            <w:noWrap w:val="0"/>
            <w:vAlign w:val="center"/>
          </w:tcPr>
          <w:p w14:paraId="646A129C">
            <w:pPr>
              <w:spacing w:line="240" w:lineRule="auto"/>
              <w:ind w:firstLine="0" w:firstLineChars="0"/>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rPr>
              <w:t>防“四害”工作及时完成</w:t>
            </w:r>
            <w:r>
              <w:rPr>
                <w:rFonts w:hint="eastAsia" w:ascii="宋体" w:hAnsi="宋体" w:eastAsia="宋体" w:cs="宋体"/>
                <w:sz w:val="22"/>
                <w:szCs w:val="22"/>
                <w:highlight w:val="none"/>
                <w:lang w:eastAsia="zh-CN"/>
              </w:rPr>
              <w:t>。</w:t>
            </w:r>
          </w:p>
        </w:tc>
        <w:tc>
          <w:tcPr>
            <w:tcW w:w="635" w:type="pct"/>
            <w:tcBorders>
              <w:top w:val="single" w:color="000000" w:sz="4" w:space="0"/>
              <w:left w:val="single" w:color="000000" w:sz="4" w:space="0"/>
              <w:bottom w:val="single" w:color="000000" w:sz="4" w:space="0"/>
              <w:right w:val="single" w:color="000000" w:sz="4" w:space="0"/>
            </w:tcBorders>
            <w:noWrap w:val="0"/>
            <w:vAlign w:val="center"/>
          </w:tcPr>
          <w:p w14:paraId="54646169">
            <w:pPr>
              <w:spacing w:line="240" w:lineRule="auto"/>
              <w:ind w:firstLine="0" w:firstLineChars="0"/>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完成</w:t>
            </w:r>
          </w:p>
        </w:tc>
        <w:tc>
          <w:tcPr>
            <w:tcW w:w="2558" w:type="pct"/>
            <w:tcBorders>
              <w:top w:val="single" w:color="000000" w:sz="4" w:space="0"/>
              <w:left w:val="single" w:color="000000" w:sz="4" w:space="0"/>
              <w:bottom w:val="single" w:color="000000" w:sz="4" w:space="0"/>
              <w:right w:val="single" w:color="000000" w:sz="4" w:space="0"/>
            </w:tcBorders>
            <w:noWrap w:val="0"/>
            <w:vAlign w:val="center"/>
          </w:tcPr>
          <w:p w14:paraId="3EDEF9EE">
            <w:pPr>
              <w:spacing w:line="240" w:lineRule="auto"/>
              <w:ind w:firstLine="0" w:firstLineChars="0"/>
              <w:rPr>
                <w:rFonts w:hint="eastAsia" w:ascii="宋体" w:hAnsi="宋体" w:eastAsia="宋体" w:cs="宋体"/>
                <w:sz w:val="22"/>
                <w:szCs w:val="22"/>
                <w:highlight w:val="none"/>
              </w:rPr>
            </w:pPr>
            <w:r>
              <w:rPr>
                <w:rFonts w:hint="eastAsia" w:ascii="宋体" w:hAnsi="宋体" w:eastAsia="宋体" w:cs="宋体"/>
                <w:sz w:val="22"/>
                <w:szCs w:val="22"/>
                <w:highlight w:val="none"/>
              </w:rPr>
              <w:t>定期做好防鼠、防蝇、防虫、防蟑螂（防四害）。如因卫生问题或食物质量问题及其他原因引起食物中毒或其他安全事故，必须承担由此造成的全部经济责任和法律责任。检查一次未合格，</w:t>
            </w:r>
            <w:r>
              <w:rPr>
                <w:rFonts w:hint="eastAsia" w:ascii="宋体" w:hAnsi="宋体" w:cs="宋体"/>
                <w:sz w:val="22"/>
                <w:szCs w:val="22"/>
                <w:highlight w:val="none"/>
                <w:lang w:eastAsia="zh-CN"/>
              </w:rPr>
              <w:t>支付违约金</w:t>
            </w:r>
            <w:r>
              <w:rPr>
                <w:rFonts w:hint="eastAsia" w:ascii="宋体" w:hAnsi="宋体" w:eastAsia="宋体" w:cs="宋体"/>
                <w:sz w:val="22"/>
                <w:szCs w:val="22"/>
                <w:highlight w:val="none"/>
              </w:rPr>
              <w:t>1000元。</w:t>
            </w:r>
          </w:p>
        </w:tc>
      </w:tr>
      <w:tr w14:paraId="4D085C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30" w:type="pct"/>
            <w:tcBorders>
              <w:top w:val="single" w:color="000000" w:sz="4" w:space="0"/>
              <w:left w:val="single" w:color="000000" w:sz="4" w:space="0"/>
              <w:bottom w:val="single" w:color="000000" w:sz="4" w:space="0"/>
              <w:right w:val="single" w:color="000000" w:sz="4" w:space="0"/>
            </w:tcBorders>
            <w:noWrap w:val="0"/>
            <w:vAlign w:val="center"/>
          </w:tcPr>
          <w:p w14:paraId="69DBF136">
            <w:pPr>
              <w:spacing w:line="240" w:lineRule="auto"/>
              <w:ind w:firstLine="0" w:firstLineChars="0"/>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14</w:t>
            </w:r>
          </w:p>
        </w:tc>
        <w:tc>
          <w:tcPr>
            <w:tcW w:w="1375" w:type="pct"/>
            <w:tcBorders>
              <w:top w:val="single" w:color="000000" w:sz="4" w:space="0"/>
              <w:left w:val="single" w:color="000000" w:sz="4" w:space="0"/>
              <w:bottom w:val="single" w:color="000000" w:sz="4" w:space="0"/>
              <w:right w:val="single" w:color="000000" w:sz="4" w:space="0"/>
            </w:tcBorders>
            <w:noWrap w:val="0"/>
            <w:vAlign w:val="center"/>
          </w:tcPr>
          <w:p w14:paraId="3D26945B">
            <w:pPr>
              <w:spacing w:line="240" w:lineRule="auto"/>
              <w:ind w:firstLine="0" w:firstLineChars="0"/>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rPr>
              <w:t>建立健全规章制度</w:t>
            </w:r>
            <w:r>
              <w:rPr>
                <w:rFonts w:hint="eastAsia" w:ascii="宋体" w:hAnsi="宋体" w:eastAsia="宋体" w:cs="宋体"/>
                <w:sz w:val="22"/>
                <w:szCs w:val="22"/>
                <w:highlight w:val="none"/>
                <w:lang w:eastAsia="zh-CN"/>
              </w:rPr>
              <w:t>。</w:t>
            </w:r>
          </w:p>
        </w:tc>
        <w:tc>
          <w:tcPr>
            <w:tcW w:w="635" w:type="pct"/>
            <w:tcBorders>
              <w:top w:val="single" w:color="000000" w:sz="4" w:space="0"/>
              <w:left w:val="single" w:color="000000" w:sz="4" w:space="0"/>
              <w:bottom w:val="single" w:color="000000" w:sz="4" w:space="0"/>
              <w:right w:val="single" w:color="000000" w:sz="4" w:space="0"/>
            </w:tcBorders>
            <w:noWrap w:val="0"/>
            <w:vAlign w:val="center"/>
          </w:tcPr>
          <w:p w14:paraId="36AAC9AB">
            <w:pPr>
              <w:spacing w:line="240" w:lineRule="auto"/>
              <w:ind w:firstLine="0" w:firstLineChars="0"/>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完成</w:t>
            </w:r>
          </w:p>
        </w:tc>
        <w:tc>
          <w:tcPr>
            <w:tcW w:w="2558" w:type="pct"/>
            <w:tcBorders>
              <w:top w:val="single" w:color="000000" w:sz="4" w:space="0"/>
              <w:left w:val="single" w:color="000000" w:sz="4" w:space="0"/>
              <w:bottom w:val="single" w:color="000000" w:sz="4" w:space="0"/>
              <w:right w:val="single" w:color="000000" w:sz="4" w:space="0"/>
            </w:tcBorders>
            <w:noWrap w:val="0"/>
            <w:vAlign w:val="center"/>
          </w:tcPr>
          <w:p w14:paraId="7C2F286A">
            <w:pPr>
              <w:spacing w:line="240" w:lineRule="auto"/>
              <w:ind w:firstLine="0" w:firstLineChars="0"/>
              <w:rPr>
                <w:rFonts w:hint="eastAsia" w:ascii="宋体" w:hAnsi="宋体" w:eastAsia="宋体" w:cs="宋体"/>
                <w:sz w:val="22"/>
                <w:szCs w:val="22"/>
                <w:highlight w:val="none"/>
              </w:rPr>
            </w:pPr>
            <w:r>
              <w:rPr>
                <w:rFonts w:hint="eastAsia" w:ascii="宋体" w:hAnsi="宋体" w:eastAsia="宋体" w:cs="宋体"/>
                <w:sz w:val="22"/>
                <w:szCs w:val="22"/>
                <w:highlight w:val="none"/>
              </w:rPr>
              <w:t>建立健全各项规章制度及有关岗位责任制和操作规程，并严格按制度和操作规程工作，制度包括防火、防毒、防盗、卫生管理和工作制度等内容。检查一次未完成，</w:t>
            </w:r>
            <w:r>
              <w:rPr>
                <w:rFonts w:hint="eastAsia" w:ascii="宋体" w:hAnsi="宋体" w:cs="宋体"/>
                <w:sz w:val="22"/>
                <w:szCs w:val="22"/>
                <w:highlight w:val="none"/>
                <w:lang w:eastAsia="zh-CN"/>
              </w:rPr>
              <w:t>支付违约金</w:t>
            </w:r>
            <w:r>
              <w:rPr>
                <w:rFonts w:hint="eastAsia" w:ascii="宋体" w:hAnsi="宋体" w:eastAsia="宋体" w:cs="宋体"/>
                <w:sz w:val="22"/>
                <w:szCs w:val="22"/>
                <w:highlight w:val="none"/>
              </w:rPr>
              <w:t>500元。</w:t>
            </w:r>
          </w:p>
        </w:tc>
      </w:tr>
      <w:tr w14:paraId="04BB0D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30" w:type="pct"/>
            <w:tcBorders>
              <w:top w:val="single" w:color="000000" w:sz="4" w:space="0"/>
              <w:left w:val="single" w:color="000000" w:sz="4" w:space="0"/>
              <w:bottom w:val="single" w:color="000000" w:sz="4" w:space="0"/>
              <w:right w:val="single" w:color="000000" w:sz="4" w:space="0"/>
            </w:tcBorders>
            <w:noWrap w:val="0"/>
            <w:vAlign w:val="center"/>
          </w:tcPr>
          <w:p w14:paraId="11D582AB">
            <w:pPr>
              <w:spacing w:line="240" w:lineRule="auto"/>
              <w:ind w:firstLine="0" w:firstLineChars="0"/>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15</w:t>
            </w:r>
          </w:p>
        </w:tc>
        <w:tc>
          <w:tcPr>
            <w:tcW w:w="1375" w:type="pct"/>
            <w:tcBorders>
              <w:top w:val="single" w:color="000000" w:sz="4" w:space="0"/>
              <w:left w:val="single" w:color="000000" w:sz="4" w:space="0"/>
              <w:bottom w:val="single" w:color="000000" w:sz="4" w:space="0"/>
              <w:right w:val="single" w:color="000000" w:sz="4" w:space="0"/>
            </w:tcBorders>
            <w:noWrap w:val="0"/>
            <w:vAlign w:val="center"/>
          </w:tcPr>
          <w:p w14:paraId="3272D40C">
            <w:pPr>
              <w:spacing w:line="240" w:lineRule="auto"/>
              <w:ind w:firstLine="0" w:firstLineChars="0"/>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rPr>
              <w:t>垃圾存放及清洁须规范</w:t>
            </w:r>
            <w:r>
              <w:rPr>
                <w:rFonts w:hint="eastAsia" w:ascii="宋体" w:hAnsi="宋体" w:eastAsia="宋体" w:cs="宋体"/>
                <w:sz w:val="22"/>
                <w:szCs w:val="22"/>
                <w:highlight w:val="none"/>
                <w:lang w:eastAsia="zh-CN"/>
              </w:rPr>
              <w:t>。</w:t>
            </w:r>
          </w:p>
        </w:tc>
        <w:tc>
          <w:tcPr>
            <w:tcW w:w="635" w:type="pct"/>
            <w:tcBorders>
              <w:top w:val="single" w:color="000000" w:sz="4" w:space="0"/>
              <w:left w:val="single" w:color="000000" w:sz="4" w:space="0"/>
              <w:bottom w:val="single" w:color="000000" w:sz="4" w:space="0"/>
              <w:right w:val="single" w:color="000000" w:sz="4" w:space="0"/>
            </w:tcBorders>
            <w:noWrap w:val="0"/>
            <w:vAlign w:val="center"/>
          </w:tcPr>
          <w:p w14:paraId="3C172DEF">
            <w:pPr>
              <w:spacing w:line="240" w:lineRule="auto"/>
              <w:ind w:firstLine="0" w:firstLineChars="0"/>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完成</w:t>
            </w:r>
          </w:p>
        </w:tc>
        <w:tc>
          <w:tcPr>
            <w:tcW w:w="2558" w:type="pct"/>
            <w:tcBorders>
              <w:top w:val="single" w:color="000000" w:sz="4" w:space="0"/>
              <w:left w:val="single" w:color="000000" w:sz="4" w:space="0"/>
              <w:bottom w:val="single" w:color="000000" w:sz="4" w:space="0"/>
              <w:right w:val="single" w:color="000000" w:sz="4" w:space="0"/>
            </w:tcBorders>
            <w:noWrap w:val="0"/>
            <w:vAlign w:val="center"/>
          </w:tcPr>
          <w:p w14:paraId="30610988">
            <w:pPr>
              <w:spacing w:line="240" w:lineRule="auto"/>
              <w:ind w:firstLine="0" w:firstLineChars="0"/>
              <w:rPr>
                <w:rFonts w:hint="eastAsia" w:ascii="宋体" w:hAnsi="宋体" w:eastAsia="宋体" w:cs="宋体"/>
                <w:sz w:val="22"/>
                <w:szCs w:val="22"/>
                <w:highlight w:val="none"/>
              </w:rPr>
            </w:pPr>
            <w:r>
              <w:rPr>
                <w:rFonts w:hint="eastAsia" w:ascii="宋体" w:hAnsi="宋体" w:eastAsia="宋体" w:cs="宋体"/>
                <w:sz w:val="22"/>
                <w:szCs w:val="22"/>
                <w:highlight w:val="none"/>
              </w:rPr>
              <w:t>厨房内的垃圾桶（箱）必须加盖，并要有足够的容量来盛装垃圾，必须按照卫生要求进行袋装化管理。检查一次未合格，</w:t>
            </w:r>
            <w:r>
              <w:rPr>
                <w:rFonts w:hint="eastAsia" w:ascii="宋体" w:hAnsi="宋体" w:cs="宋体"/>
                <w:sz w:val="22"/>
                <w:szCs w:val="22"/>
                <w:highlight w:val="none"/>
                <w:lang w:eastAsia="zh-CN"/>
              </w:rPr>
              <w:t>支付违约金</w:t>
            </w:r>
            <w:r>
              <w:rPr>
                <w:rFonts w:hint="eastAsia" w:ascii="宋体" w:hAnsi="宋体" w:eastAsia="宋体" w:cs="宋体"/>
                <w:sz w:val="22"/>
                <w:szCs w:val="22"/>
                <w:highlight w:val="none"/>
              </w:rPr>
              <w:t>500元。</w:t>
            </w:r>
          </w:p>
        </w:tc>
      </w:tr>
      <w:tr w14:paraId="44D6C3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30" w:type="pct"/>
            <w:tcBorders>
              <w:top w:val="single" w:color="000000" w:sz="4" w:space="0"/>
              <w:left w:val="single" w:color="000000" w:sz="4" w:space="0"/>
              <w:bottom w:val="single" w:color="000000" w:sz="4" w:space="0"/>
              <w:right w:val="single" w:color="000000" w:sz="4" w:space="0"/>
            </w:tcBorders>
            <w:noWrap w:val="0"/>
            <w:vAlign w:val="center"/>
          </w:tcPr>
          <w:p w14:paraId="27CF8234">
            <w:pPr>
              <w:spacing w:line="240" w:lineRule="auto"/>
              <w:ind w:firstLine="0" w:firstLineChars="0"/>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16</w:t>
            </w:r>
          </w:p>
        </w:tc>
        <w:tc>
          <w:tcPr>
            <w:tcW w:w="1375" w:type="pct"/>
            <w:tcBorders>
              <w:top w:val="single" w:color="000000" w:sz="4" w:space="0"/>
              <w:left w:val="single" w:color="000000" w:sz="4" w:space="0"/>
              <w:bottom w:val="single" w:color="000000" w:sz="4" w:space="0"/>
              <w:right w:val="single" w:color="000000" w:sz="4" w:space="0"/>
            </w:tcBorders>
            <w:noWrap w:val="0"/>
            <w:vAlign w:val="center"/>
          </w:tcPr>
          <w:p w14:paraId="6A83E494">
            <w:pPr>
              <w:spacing w:line="240" w:lineRule="auto"/>
              <w:ind w:firstLine="0" w:firstLineChars="0"/>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rPr>
              <w:t>无条件服从招标人供餐需求</w:t>
            </w:r>
            <w:r>
              <w:rPr>
                <w:rFonts w:hint="eastAsia" w:ascii="宋体" w:hAnsi="宋体" w:eastAsia="宋体" w:cs="宋体"/>
                <w:sz w:val="22"/>
                <w:szCs w:val="22"/>
                <w:highlight w:val="none"/>
                <w:lang w:eastAsia="zh-CN"/>
              </w:rPr>
              <w:t>。</w:t>
            </w:r>
          </w:p>
        </w:tc>
        <w:tc>
          <w:tcPr>
            <w:tcW w:w="635" w:type="pct"/>
            <w:tcBorders>
              <w:top w:val="single" w:color="000000" w:sz="4" w:space="0"/>
              <w:left w:val="single" w:color="000000" w:sz="4" w:space="0"/>
              <w:bottom w:val="single" w:color="000000" w:sz="4" w:space="0"/>
              <w:right w:val="single" w:color="000000" w:sz="4" w:space="0"/>
            </w:tcBorders>
            <w:noWrap w:val="0"/>
            <w:vAlign w:val="center"/>
          </w:tcPr>
          <w:p w14:paraId="4D3EB6B0">
            <w:pPr>
              <w:spacing w:line="240" w:lineRule="auto"/>
              <w:ind w:firstLine="0" w:firstLineChars="0"/>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服从</w:t>
            </w:r>
          </w:p>
        </w:tc>
        <w:tc>
          <w:tcPr>
            <w:tcW w:w="2558" w:type="pct"/>
            <w:tcBorders>
              <w:top w:val="single" w:color="000000" w:sz="4" w:space="0"/>
              <w:left w:val="single" w:color="000000" w:sz="4" w:space="0"/>
              <w:bottom w:val="single" w:color="000000" w:sz="4" w:space="0"/>
              <w:right w:val="single" w:color="000000" w:sz="4" w:space="0"/>
            </w:tcBorders>
            <w:noWrap w:val="0"/>
            <w:vAlign w:val="center"/>
          </w:tcPr>
          <w:p w14:paraId="335B1612">
            <w:pPr>
              <w:spacing w:line="240" w:lineRule="auto"/>
              <w:ind w:firstLine="0" w:firstLineChars="0"/>
              <w:rPr>
                <w:rFonts w:hint="eastAsia" w:ascii="宋体" w:hAnsi="宋体" w:eastAsia="宋体" w:cs="宋体"/>
                <w:sz w:val="22"/>
                <w:szCs w:val="22"/>
                <w:highlight w:val="none"/>
              </w:rPr>
            </w:pPr>
            <w:r>
              <w:rPr>
                <w:rFonts w:hint="eastAsia" w:ascii="宋体" w:hAnsi="宋体" w:eastAsia="宋体" w:cs="宋体"/>
                <w:sz w:val="22"/>
                <w:szCs w:val="22"/>
                <w:highlight w:val="none"/>
              </w:rPr>
              <w:t>根据招标人工作性质及需求，</w:t>
            </w:r>
            <w:r>
              <w:rPr>
                <w:rStyle w:val="57"/>
                <w:rFonts w:hint="eastAsia" w:ascii="宋体" w:hAnsi="宋体" w:eastAsia="宋体" w:cs="宋体"/>
                <w:b w:val="0"/>
                <w:i w:val="0"/>
                <w:caps w:val="0"/>
                <w:spacing w:val="0"/>
                <w:w w:val="100"/>
                <w:kern w:val="2"/>
                <w:sz w:val="22"/>
                <w:szCs w:val="22"/>
                <w:highlight w:val="none"/>
                <w:lang w:eastAsia="zh-CN" w:bidi="ar-SA"/>
              </w:rPr>
              <w:t>中标人</w:t>
            </w:r>
            <w:r>
              <w:rPr>
                <w:rFonts w:hint="eastAsia" w:ascii="宋体" w:hAnsi="宋体" w:eastAsia="宋体" w:cs="宋体"/>
                <w:sz w:val="22"/>
                <w:szCs w:val="22"/>
                <w:highlight w:val="none"/>
              </w:rPr>
              <w:t>需在接到招标人供餐服务要求时，做到无条件配合。如未能达到要求，一次</w:t>
            </w:r>
            <w:r>
              <w:rPr>
                <w:rFonts w:hint="eastAsia" w:ascii="宋体" w:hAnsi="宋体" w:cs="宋体"/>
                <w:sz w:val="22"/>
                <w:szCs w:val="22"/>
                <w:highlight w:val="none"/>
                <w:lang w:eastAsia="zh-CN"/>
              </w:rPr>
              <w:t>支付违约金</w:t>
            </w:r>
            <w:r>
              <w:rPr>
                <w:rFonts w:hint="eastAsia" w:ascii="宋体" w:hAnsi="宋体" w:eastAsia="宋体" w:cs="宋体"/>
                <w:sz w:val="22"/>
                <w:szCs w:val="22"/>
                <w:highlight w:val="none"/>
              </w:rPr>
              <w:t>500元。</w:t>
            </w:r>
          </w:p>
        </w:tc>
      </w:tr>
    </w:tbl>
    <w:p w14:paraId="2F5F7117">
      <w:pPr>
        <w:rPr>
          <w:rFonts w:hint="eastAsia" w:ascii="宋体" w:hAnsi="宋体" w:eastAsia="宋体" w:cs="宋体"/>
          <w:color w:val="auto"/>
          <w:szCs w:val="21"/>
          <w:highlight w:val="none"/>
        </w:rPr>
      </w:pPr>
    </w:p>
    <w:p w14:paraId="66F7C4DF">
      <w:pPr>
        <w:spacing w:line="240" w:lineRule="atLeast"/>
        <w:rPr>
          <w:rFonts w:hint="eastAsia" w:ascii="宋体" w:hAnsi="宋体" w:eastAsia="宋体" w:cs="宋体"/>
          <w:color w:val="auto"/>
          <w:highlight w:val="none"/>
        </w:rPr>
      </w:pPr>
      <w:r>
        <w:rPr>
          <w:rFonts w:hint="eastAsia" w:ascii="宋体" w:hAnsi="宋体" w:eastAsia="宋体" w:cs="宋体"/>
          <w:color w:val="auto"/>
          <w:szCs w:val="21"/>
          <w:highlight w:val="none"/>
        </w:rPr>
        <w:br w:type="page"/>
      </w:r>
    </w:p>
    <w:p w14:paraId="288956A2">
      <w:pPr>
        <w:rPr>
          <w:rFonts w:hint="eastAsia" w:ascii="宋体" w:hAnsi="宋体" w:eastAsia="宋体" w:cs="宋体"/>
          <w:color w:val="auto"/>
          <w:highlight w:val="none"/>
        </w:rPr>
      </w:pPr>
    </w:p>
    <w:p w14:paraId="035A3154">
      <w:pPr>
        <w:rPr>
          <w:rFonts w:hint="eastAsia" w:ascii="宋体" w:hAnsi="宋体" w:eastAsia="宋体" w:cs="宋体"/>
          <w:color w:val="auto"/>
          <w:highlight w:val="none"/>
        </w:rPr>
      </w:pPr>
    </w:p>
    <w:p w14:paraId="43E29664">
      <w:pPr>
        <w:rPr>
          <w:rFonts w:hint="eastAsia" w:ascii="宋体" w:hAnsi="宋体" w:eastAsia="宋体" w:cs="宋体"/>
          <w:color w:val="auto"/>
          <w:highlight w:val="none"/>
        </w:rPr>
      </w:pPr>
    </w:p>
    <w:p w14:paraId="37C0A9DD">
      <w:pPr>
        <w:rPr>
          <w:rFonts w:hint="eastAsia" w:ascii="宋体" w:hAnsi="宋体" w:eastAsia="宋体" w:cs="宋体"/>
          <w:color w:val="auto"/>
          <w:highlight w:val="none"/>
        </w:rPr>
      </w:pPr>
    </w:p>
    <w:p w14:paraId="3E45370F">
      <w:pPr>
        <w:rPr>
          <w:rFonts w:hint="eastAsia" w:ascii="宋体" w:hAnsi="宋体" w:eastAsia="宋体" w:cs="宋体"/>
          <w:color w:val="auto"/>
          <w:highlight w:val="none"/>
        </w:rPr>
      </w:pPr>
    </w:p>
    <w:p w14:paraId="32A4009E">
      <w:pPr>
        <w:rPr>
          <w:rFonts w:hint="eastAsia" w:ascii="宋体" w:hAnsi="宋体" w:eastAsia="宋体" w:cs="宋体"/>
          <w:color w:val="auto"/>
          <w:highlight w:val="none"/>
        </w:rPr>
      </w:pPr>
    </w:p>
    <w:p w14:paraId="7558393D">
      <w:pPr>
        <w:rPr>
          <w:rFonts w:hint="eastAsia" w:ascii="宋体" w:hAnsi="宋体" w:eastAsia="宋体" w:cs="宋体"/>
          <w:color w:val="auto"/>
          <w:highlight w:val="none"/>
        </w:rPr>
      </w:pPr>
    </w:p>
    <w:p w14:paraId="0734CF45">
      <w:pPr>
        <w:rPr>
          <w:rFonts w:hint="eastAsia" w:ascii="宋体" w:hAnsi="宋体" w:eastAsia="宋体" w:cs="宋体"/>
          <w:color w:val="auto"/>
          <w:highlight w:val="none"/>
        </w:rPr>
      </w:pPr>
    </w:p>
    <w:p w14:paraId="050C83D4">
      <w:pPr>
        <w:rPr>
          <w:rFonts w:hint="eastAsia" w:ascii="宋体" w:hAnsi="宋体" w:eastAsia="宋体" w:cs="宋体"/>
          <w:color w:val="auto"/>
          <w:highlight w:val="none"/>
        </w:rPr>
      </w:pPr>
    </w:p>
    <w:p w14:paraId="3454F974">
      <w:pPr>
        <w:rPr>
          <w:rFonts w:hint="eastAsia" w:ascii="宋体" w:hAnsi="宋体" w:eastAsia="宋体" w:cs="宋体"/>
          <w:color w:val="auto"/>
          <w:highlight w:val="none"/>
        </w:rPr>
      </w:pPr>
    </w:p>
    <w:p w14:paraId="38801297">
      <w:pPr>
        <w:rPr>
          <w:rFonts w:hint="eastAsia" w:ascii="宋体" w:hAnsi="宋体" w:eastAsia="宋体" w:cs="宋体"/>
          <w:color w:val="auto"/>
          <w:highlight w:val="none"/>
        </w:rPr>
      </w:pPr>
    </w:p>
    <w:p w14:paraId="67575D08">
      <w:pPr>
        <w:rPr>
          <w:rFonts w:hint="eastAsia" w:ascii="宋体" w:hAnsi="宋体" w:eastAsia="宋体" w:cs="宋体"/>
          <w:color w:val="auto"/>
          <w:highlight w:val="none"/>
        </w:rPr>
      </w:pPr>
    </w:p>
    <w:p w14:paraId="4962EFEC">
      <w:pPr>
        <w:rPr>
          <w:rFonts w:hint="eastAsia" w:ascii="宋体" w:hAnsi="宋体" w:eastAsia="宋体" w:cs="宋体"/>
          <w:color w:val="auto"/>
          <w:highlight w:val="none"/>
        </w:rPr>
      </w:pPr>
    </w:p>
    <w:p w14:paraId="2FA3773C">
      <w:pPr>
        <w:rPr>
          <w:rFonts w:hint="eastAsia" w:ascii="宋体" w:hAnsi="宋体" w:eastAsia="宋体" w:cs="宋体"/>
          <w:color w:val="auto"/>
          <w:highlight w:val="none"/>
        </w:rPr>
      </w:pPr>
    </w:p>
    <w:p w14:paraId="28BAB0B6">
      <w:pPr>
        <w:rPr>
          <w:rFonts w:hint="eastAsia" w:ascii="宋体" w:hAnsi="宋体" w:eastAsia="宋体" w:cs="宋体"/>
          <w:color w:val="auto"/>
          <w:highlight w:val="none"/>
        </w:rPr>
      </w:pPr>
    </w:p>
    <w:p w14:paraId="661DF848">
      <w:pPr>
        <w:pStyle w:val="2"/>
        <w:rPr>
          <w:rFonts w:hint="eastAsia" w:ascii="宋体" w:hAnsi="宋体" w:eastAsia="宋体" w:cs="宋体"/>
          <w:b/>
          <w:color w:val="auto"/>
          <w:sz w:val="52"/>
          <w:szCs w:val="52"/>
          <w:highlight w:val="none"/>
        </w:rPr>
      </w:pPr>
      <w:r>
        <w:rPr>
          <w:rFonts w:hint="eastAsia" w:ascii="宋体" w:hAnsi="宋体" w:eastAsia="宋体" w:cs="宋体"/>
          <w:b/>
          <w:color w:val="auto"/>
          <w:sz w:val="52"/>
          <w:szCs w:val="52"/>
          <w:highlight w:val="none"/>
        </w:rPr>
        <w:t>第二册  通用条款</w:t>
      </w:r>
    </w:p>
    <w:p w14:paraId="428ACD0A">
      <w:pPr>
        <w:rPr>
          <w:rFonts w:hint="eastAsia" w:ascii="宋体" w:hAnsi="宋体" w:eastAsia="宋体" w:cs="宋体"/>
          <w:color w:val="auto"/>
          <w:highlight w:val="none"/>
        </w:rPr>
      </w:pPr>
      <w:r>
        <w:rPr>
          <w:rFonts w:hint="eastAsia" w:ascii="宋体" w:hAnsi="宋体" w:eastAsia="宋体" w:cs="宋体"/>
          <w:b/>
          <w:color w:val="auto"/>
          <w:sz w:val="52"/>
          <w:szCs w:val="52"/>
          <w:highlight w:val="none"/>
        </w:rPr>
        <w:br w:type="page"/>
      </w:r>
    </w:p>
    <w:p w14:paraId="45285263">
      <w:pPr>
        <w:rPr>
          <w:rFonts w:hint="eastAsia" w:ascii="宋体" w:hAnsi="宋体" w:eastAsia="宋体" w:cs="宋体"/>
          <w:color w:val="auto"/>
          <w:highlight w:val="none"/>
        </w:rPr>
      </w:pPr>
    </w:p>
    <w:p w14:paraId="24C798FF">
      <w:pPr>
        <w:rPr>
          <w:rFonts w:hint="eastAsia" w:ascii="宋体" w:hAnsi="宋体" w:eastAsia="宋体" w:cs="宋体"/>
          <w:color w:val="auto"/>
          <w:highlight w:val="none"/>
        </w:rPr>
      </w:pPr>
    </w:p>
    <w:p w14:paraId="516CC27C">
      <w:pPr>
        <w:rPr>
          <w:rFonts w:hint="eastAsia" w:ascii="宋体" w:hAnsi="宋体" w:eastAsia="宋体" w:cs="宋体"/>
          <w:color w:val="auto"/>
          <w:highlight w:val="none"/>
        </w:rPr>
      </w:pPr>
    </w:p>
    <w:p w14:paraId="73F118A3">
      <w:pPr>
        <w:rPr>
          <w:rFonts w:hint="eastAsia" w:ascii="宋体" w:hAnsi="宋体" w:eastAsia="宋体" w:cs="宋体"/>
          <w:color w:val="auto"/>
          <w:highlight w:val="none"/>
        </w:rPr>
      </w:pPr>
    </w:p>
    <w:p w14:paraId="1DECE873">
      <w:pPr>
        <w:rPr>
          <w:rFonts w:hint="eastAsia" w:ascii="宋体" w:hAnsi="宋体" w:eastAsia="宋体" w:cs="宋体"/>
          <w:color w:val="auto"/>
          <w:highlight w:val="none"/>
        </w:rPr>
      </w:pPr>
    </w:p>
    <w:p w14:paraId="6482CAAE">
      <w:pPr>
        <w:rPr>
          <w:rFonts w:hint="eastAsia" w:ascii="宋体" w:hAnsi="宋体" w:eastAsia="宋体" w:cs="宋体"/>
          <w:color w:val="auto"/>
          <w:highlight w:val="none"/>
        </w:rPr>
      </w:pPr>
    </w:p>
    <w:p w14:paraId="1A147E0C">
      <w:pPr>
        <w:rPr>
          <w:rFonts w:hint="eastAsia" w:ascii="宋体" w:hAnsi="宋体" w:eastAsia="宋体" w:cs="宋体"/>
          <w:color w:val="auto"/>
          <w:highlight w:val="none"/>
        </w:rPr>
      </w:pPr>
    </w:p>
    <w:p w14:paraId="097ADCDC">
      <w:pPr>
        <w:rPr>
          <w:rFonts w:hint="eastAsia" w:ascii="宋体" w:hAnsi="宋体" w:eastAsia="宋体" w:cs="宋体"/>
          <w:color w:val="auto"/>
          <w:highlight w:val="none"/>
        </w:rPr>
      </w:pPr>
    </w:p>
    <w:p w14:paraId="1CD344E0">
      <w:pPr>
        <w:rPr>
          <w:rFonts w:hint="eastAsia" w:ascii="宋体" w:hAnsi="宋体" w:eastAsia="宋体" w:cs="宋体"/>
          <w:color w:val="auto"/>
          <w:highlight w:val="none"/>
        </w:rPr>
      </w:pPr>
    </w:p>
    <w:p w14:paraId="385DF4AF">
      <w:pPr>
        <w:rPr>
          <w:rFonts w:hint="eastAsia" w:ascii="宋体" w:hAnsi="宋体" w:eastAsia="宋体" w:cs="宋体"/>
          <w:color w:val="auto"/>
          <w:highlight w:val="none"/>
        </w:rPr>
      </w:pPr>
    </w:p>
    <w:p w14:paraId="3676862D">
      <w:pPr>
        <w:rPr>
          <w:rFonts w:hint="eastAsia" w:ascii="宋体" w:hAnsi="宋体" w:eastAsia="宋体" w:cs="宋体"/>
          <w:color w:val="auto"/>
          <w:highlight w:val="none"/>
        </w:rPr>
      </w:pPr>
    </w:p>
    <w:p w14:paraId="072B3655">
      <w:pPr>
        <w:rPr>
          <w:rFonts w:hint="eastAsia" w:ascii="宋体" w:hAnsi="宋体" w:eastAsia="宋体" w:cs="宋体"/>
          <w:color w:val="auto"/>
          <w:highlight w:val="none"/>
        </w:rPr>
      </w:pPr>
    </w:p>
    <w:p w14:paraId="2A9E4F99">
      <w:pPr>
        <w:rPr>
          <w:rFonts w:hint="eastAsia" w:ascii="宋体" w:hAnsi="宋体" w:eastAsia="宋体" w:cs="宋体"/>
          <w:color w:val="auto"/>
          <w:highlight w:val="none"/>
        </w:rPr>
      </w:pPr>
    </w:p>
    <w:p w14:paraId="212BCDF7">
      <w:pPr>
        <w:rPr>
          <w:rFonts w:hint="eastAsia" w:ascii="宋体" w:hAnsi="宋体" w:eastAsia="宋体" w:cs="宋体"/>
          <w:color w:val="auto"/>
          <w:highlight w:val="none"/>
        </w:rPr>
      </w:pPr>
    </w:p>
    <w:p w14:paraId="5C71F9CA">
      <w:pPr>
        <w:rPr>
          <w:rFonts w:ascii="宋体" w:hAnsi="宋体" w:cs="宋体"/>
          <w:color w:val="000000" w:themeColor="text1"/>
          <w:highlight w:val="none"/>
          <w14:textFill>
            <w14:solidFill>
              <w14:schemeClr w14:val="tx1"/>
            </w14:solidFill>
          </w14:textFill>
        </w:rPr>
      </w:pPr>
    </w:p>
    <w:p w14:paraId="4D51C199">
      <w:pPr>
        <w:pStyle w:val="3"/>
        <w:spacing w:line="240" w:lineRule="auto"/>
        <w:rPr>
          <w:rFonts w:cs="宋体"/>
          <w:color w:val="000000" w:themeColor="text1"/>
          <w:sz w:val="22"/>
          <w:szCs w:val="22"/>
          <w:highlight w:val="none"/>
          <w14:textFill>
            <w14:solidFill>
              <w14:schemeClr w14:val="tx1"/>
            </w14:solidFill>
          </w14:textFill>
        </w:rPr>
      </w:pPr>
      <w:r>
        <w:rPr>
          <w:bCs/>
          <w:color w:val="000000" w:themeColor="text1"/>
          <w:sz w:val="32"/>
          <w:szCs w:val="32"/>
          <w:highlight w:val="none"/>
          <w14:textFill>
            <w14:solidFill>
              <w14:schemeClr w14:val="tx1"/>
            </w14:solidFill>
          </w14:textFill>
        </w:rPr>
        <w:t>第一章  总则</w:t>
      </w:r>
      <w:r>
        <w:rPr>
          <w:bCs/>
          <w:color w:val="000000" w:themeColor="text1"/>
          <w:sz w:val="32"/>
          <w:szCs w:val="32"/>
          <w:highlight w:val="none"/>
          <w14:textFill>
            <w14:solidFill>
              <w14:schemeClr w14:val="tx1"/>
            </w14:solidFill>
          </w14:textFill>
        </w:rPr>
        <w:br w:type="page"/>
      </w:r>
    </w:p>
    <w:p w14:paraId="4EF6C3EE">
      <w:pPr>
        <w:rPr>
          <w:rFonts w:ascii="宋体" w:hAnsi="宋体" w:cs="宋体"/>
          <w:color w:val="000000" w:themeColor="text1"/>
          <w:sz w:val="22"/>
          <w:szCs w:val="22"/>
          <w:highlight w:val="none"/>
          <w14:textFill>
            <w14:solidFill>
              <w14:schemeClr w14:val="tx1"/>
            </w14:solidFill>
          </w14:textFill>
        </w:rPr>
      </w:pPr>
    </w:p>
    <w:p w14:paraId="407A8D56">
      <w:pPr>
        <w:numPr>
          <w:ilvl w:val="0"/>
          <w:numId w:val="11"/>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通用条款说明</w:t>
      </w:r>
    </w:p>
    <w:p w14:paraId="6953D0C1">
      <w:pPr>
        <w:numPr>
          <w:ilvl w:val="1"/>
          <w:numId w:val="12"/>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政府采购代理机构发出采购文件通用条款版本，列出深圳市政府采购项目进行招标采购所适用的通用条款内容。如有需要，政府采购代理机构可以对这些条款增加附录或补充内容。</w:t>
      </w:r>
    </w:p>
    <w:p w14:paraId="5DF8E624">
      <w:pPr>
        <w:ind w:left="907"/>
        <w:rPr>
          <w:rFonts w:ascii="宋体" w:hAnsi="宋体" w:cs="宋体"/>
          <w:color w:val="000000" w:themeColor="text1"/>
          <w:sz w:val="22"/>
          <w:szCs w:val="22"/>
          <w:highlight w:val="none"/>
          <w14:textFill>
            <w14:solidFill>
              <w14:schemeClr w14:val="tx1"/>
            </w14:solidFill>
          </w14:textFill>
        </w:rPr>
      </w:pPr>
    </w:p>
    <w:p w14:paraId="219495AF">
      <w:pPr>
        <w:numPr>
          <w:ilvl w:val="0"/>
          <w:numId w:val="11"/>
        </w:numPr>
        <w:rPr>
          <w:rFonts w:ascii="宋体" w:hAnsi="宋体" w:cs="宋体"/>
          <w:color w:val="000000" w:themeColor="text1"/>
          <w:sz w:val="22"/>
          <w:szCs w:val="22"/>
          <w:highlight w:val="none"/>
          <w14:textFill>
            <w14:solidFill>
              <w14:schemeClr w14:val="tx1"/>
            </w14:solidFill>
          </w14:textFill>
        </w:rPr>
      </w:pPr>
      <w:bookmarkStart w:id="18" w:name="_Toc60631622"/>
      <w:bookmarkStart w:id="19" w:name="_Toc60560627"/>
      <w:bookmarkStart w:id="20" w:name="_Toc73521637"/>
      <w:bookmarkStart w:id="21" w:name="_Toc100052366"/>
      <w:bookmarkStart w:id="22" w:name="_Toc73521549"/>
      <w:bookmarkStart w:id="23" w:name="_Toc73518119"/>
      <w:bookmarkStart w:id="24" w:name="_Toc73517641"/>
      <w:bookmarkStart w:id="25" w:name="_Toc60560629"/>
      <w:bookmarkStart w:id="26" w:name="_Toc100052368"/>
      <w:bookmarkStart w:id="27" w:name="_Toc73521551"/>
      <w:bookmarkStart w:id="28" w:name="_Toc73521639"/>
      <w:bookmarkStart w:id="29" w:name="_Toc60631624"/>
      <w:bookmarkStart w:id="30" w:name="_Toc73518121"/>
      <w:bookmarkStart w:id="31" w:name="_Toc73517643"/>
      <w:r>
        <w:rPr>
          <w:rFonts w:hint="eastAsia" w:ascii="宋体" w:hAnsi="宋体" w:cs="宋体"/>
          <w:color w:val="000000" w:themeColor="text1"/>
          <w:sz w:val="22"/>
          <w:szCs w:val="22"/>
          <w:highlight w:val="none"/>
          <w14:textFill>
            <w14:solidFill>
              <w14:schemeClr w14:val="tx1"/>
            </w14:solidFill>
          </w14:textFill>
        </w:rPr>
        <w:t>采购说明</w:t>
      </w:r>
      <w:bookmarkEnd w:id="18"/>
      <w:bookmarkEnd w:id="19"/>
      <w:bookmarkEnd w:id="20"/>
      <w:bookmarkEnd w:id="21"/>
      <w:bookmarkEnd w:id="22"/>
      <w:bookmarkEnd w:id="23"/>
      <w:bookmarkEnd w:id="24"/>
    </w:p>
    <w:p w14:paraId="4E111515">
      <w:pPr>
        <w:numPr>
          <w:ilvl w:val="1"/>
          <w:numId w:val="12"/>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本项目参照《深圳经济特区政府采购条例》的规定，并参考有关法规、政策、规章、规定通过招标择优选定供应商。</w:t>
      </w:r>
    </w:p>
    <w:p w14:paraId="6D2056C4">
      <w:pPr>
        <w:ind w:left="907"/>
        <w:rPr>
          <w:rFonts w:ascii="宋体" w:hAnsi="宋体" w:cs="宋体"/>
          <w:color w:val="000000" w:themeColor="text1"/>
          <w:sz w:val="22"/>
          <w:szCs w:val="22"/>
          <w:highlight w:val="none"/>
          <w14:textFill>
            <w14:solidFill>
              <w14:schemeClr w14:val="tx1"/>
            </w14:solidFill>
          </w14:textFill>
        </w:rPr>
      </w:pPr>
    </w:p>
    <w:p w14:paraId="2EC04E90">
      <w:pPr>
        <w:numPr>
          <w:ilvl w:val="0"/>
          <w:numId w:val="11"/>
        </w:numPr>
        <w:rPr>
          <w:rFonts w:ascii="宋体" w:hAnsi="宋体" w:cs="宋体"/>
          <w:color w:val="000000" w:themeColor="text1"/>
          <w:sz w:val="22"/>
          <w:szCs w:val="22"/>
          <w:highlight w:val="none"/>
          <w14:textFill>
            <w14:solidFill>
              <w14:schemeClr w14:val="tx1"/>
            </w14:solidFill>
          </w14:textFill>
        </w:rPr>
      </w:pPr>
      <w:bookmarkStart w:id="32" w:name="_Toc73518120"/>
      <w:bookmarkStart w:id="33" w:name="_Toc100052367"/>
      <w:bookmarkStart w:id="34" w:name="_Toc73521638"/>
      <w:bookmarkStart w:id="35" w:name="_Toc73521550"/>
      <w:bookmarkStart w:id="36" w:name="_Toc73517642"/>
      <w:bookmarkStart w:id="37" w:name="_Toc60631623"/>
      <w:bookmarkStart w:id="38" w:name="_Toc60560628"/>
      <w:r>
        <w:rPr>
          <w:rFonts w:hint="eastAsia" w:ascii="宋体" w:hAnsi="宋体" w:cs="宋体"/>
          <w:color w:val="000000" w:themeColor="text1"/>
          <w:sz w:val="22"/>
          <w:szCs w:val="22"/>
          <w:highlight w:val="none"/>
          <w14:textFill>
            <w14:solidFill>
              <w14:schemeClr w14:val="tx1"/>
            </w14:solidFill>
          </w14:textFill>
        </w:rPr>
        <w:t>定义</w:t>
      </w:r>
      <w:bookmarkEnd w:id="32"/>
      <w:bookmarkEnd w:id="33"/>
      <w:bookmarkEnd w:id="34"/>
      <w:bookmarkEnd w:id="35"/>
      <w:bookmarkEnd w:id="36"/>
      <w:bookmarkEnd w:id="37"/>
      <w:bookmarkEnd w:id="38"/>
    </w:p>
    <w:p w14:paraId="16E12F3F">
      <w:pPr>
        <w:ind w:left="907"/>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采购文件中下列术语应解释为：</w:t>
      </w:r>
    </w:p>
    <w:p w14:paraId="0FE85CF6">
      <w:pPr>
        <w:numPr>
          <w:ilvl w:val="1"/>
          <w:numId w:val="12"/>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“政府采购代理机构”系指依法设立的负责采购组织工作的专门机构；本项目系指深圳市东海国际招标有限公司；</w:t>
      </w:r>
    </w:p>
    <w:p w14:paraId="3618A7F4">
      <w:pPr>
        <w:numPr>
          <w:ilvl w:val="1"/>
          <w:numId w:val="12"/>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 xml:space="preserve">“采购人”或“采购单位”：系指利用财政性资金依法进行政府采购的国家机关、事业单位、团体组织； </w:t>
      </w:r>
    </w:p>
    <w:p w14:paraId="3B337820">
      <w:pPr>
        <w:numPr>
          <w:ilvl w:val="1"/>
          <w:numId w:val="12"/>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“投标人”或“投标方”，即供应商，是指参加投标竞争并愿意按照采购文件要求向采购人提供货物、工程或者服务的依法成立的法人、其他组织或者自然人；</w:t>
      </w:r>
    </w:p>
    <w:p w14:paraId="29DAEFD5">
      <w:pPr>
        <w:numPr>
          <w:ilvl w:val="1"/>
          <w:numId w:val="12"/>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“评审委员会”和“谈判小组”是参照《深圳经济特区政府采购条例》有关规定组建的专门负责本次采购其评标（谈判）工作的临时性机构；</w:t>
      </w:r>
    </w:p>
    <w:p w14:paraId="487EB515">
      <w:pPr>
        <w:numPr>
          <w:ilvl w:val="1"/>
          <w:numId w:val="12"/>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“日期”指公历日；</w:t>
      </w:r>
    </w:p>
    <w:p w14:paraId="19C4833A">
      <w:pPr>
        <w:numPr>
          <w:ilvl w:val="1"/>
          <w:numId w:val="12"/>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“合同”指由本次招标所产生的合同或合约文件。</w:t>
      </w:r>
    </w:p>
    <w:p w14:paraId="6E57DFF6">
      <w:pPr>
        <w:ind w:left="907"/>
        <w:rPr>
          <w:rFonts w:ascii="宋体" w:hAnsi="宋体" w:cs="宋体"/>
          <w:color w:val="000000" w:themeColor="text1"/>
          <w:sz w:val="22"/>
          <w:szCs w:val="22"/>
          <w:highlight w:val="none"/>
          <w14:textFill>
            <w14:solidFill>
              <w14:schemeClr w14:val="tx1"/>
            </w14:solidFill>
          </w14:textFill>
        </w:rPr>
      </w:pPr>
    </w:p>
    <w:p w14:paraId="45557A5B">
      <w:pPr>
        <w:numPr>
          <w:ilvl w:val="0"/>
          <w:numId w:val="11"/>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政府采购供应商责任</w:t>
      </w:r>
    </w:p>
    <w:p w14:paraId="0BE698B5">
      <w:pPr>
        <w:numPr>
          <w:ilvl w:val="1"/>
          <w:numId w:val="12"/>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欢迎诚信、有实力和有社会责任心的供应商参与政府采购事业。</w:t>
      </w:r>
    </w:p>
    <w:p w14:paraId="27F422A0">
      <w:pPr>
        <w:numPr>
          <w:ilvl w:val="1"/>
          <w:numId w:val="12"/>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供应商在政府采购项目投标过程中应诚实守信，不弄虚作假，不隐瞒真实情况，不围标串标，不恶意质疑投诉。如违反上述要求，经核实后，供应商的投标将作废，没收投标</w:t>
      </w:r>
      <w:r>
        <w:rPr>
          <w:rFonts w:hint="default" w:ascii="宋体" w:hAnsi="宋体" w:cs="宋体"/>
          <w:color w:val="000000" w:themeColor="text1"/>
          <w:sz w:val="22"/>
          <w:szCs w:val="22"/>
          <w:highlight w:val="none"/>
          <w14:textFill>
            <w14:solidFill>
              <w14:schemeClr w14:val="tx1"/>
            </w14:solidFill>
          </w14:textFill>
        </w:rPr>
        <w:t>保函</w:t>
      </w:r>
      <w:r>
        <w:rPr>
          <w:rFonts w:hint="eastAsia" w:ascii="宋体" w:hAnsi="宋体" w:cs="宋体"/>
          <w:color w:val="000000" w:themeColor="text1"/>
          <w:sz w:val="22"/>
          <w:szCs w:val="22"/>
          <w:highlight w:val="none"/>
          <w14:textFill>
            <w14:solidFill>
              <w14:schemeClr w14:val="tx1"/>
            </w14:solidFill>
          </w14:textFill>
        </w:rPr>
        <w:t>，将该供应商列入不良记录名单并在网上曝光，同时提请政府采购监督管理部门给予一定年限内禁止参加政府采购活动的处罚或其他处罚。</w:t>
      </w:r>
      <w:bookmarkEnd w:id="25"/>
      <w:bookmarkEnd w:id="26"/>
      <w:bookmarkEnd w:id="27"/>
      <w:bookmarkEnd w:id="28"/>
      <w:bookmarkEnd w:id="29"/>
      <w:bookmarkEnd w:id="30"/>
      <w:bookmarkEnd w:id="31"/>
    </w:p>
    <w:p w14:paraId="2246016E">
      <w:pPr>
        <w:ind w:left="907"/>
        <w:rPr>
          <w:rFonts w:ascii="宋体" w:hAnsi="宋体" w:cs="宋体"/>
          <w:color w:val="000000" w:themeColor="text1"/>
          <w:sz w:val="22"/>
          <w:szCs w:val="22"/>
          <w:highlight w:val="none"/>
          <w14:textFill>
            <w14:solidFill>
              <w14:schemeClr w14:val="tx1"/>
            </w14:solidFill>
          </w14:textFill>
        </w:rPr>
      </w:pPr>
    </w:p>
    <w:p w14:paraId="72A876DA">
      <w:pPr>
        <w:numPr>
          <w:ilvl w:val="0"/>
          <w:numId w:val="11"/>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投标人参加政府采购的条件</w:t>
      </w:r>
    </w:p>
    <w:p w14:paraId="63C5F95A">
      <w:pPr>
        <w:numPr>
          <w:ilvl w:val="1"/>
          <w:numId w:val="12"/>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参加本项目的投标人应具备的资格条件详见本项目采购公告中 “对投标人资格要求”的内容。</w:t>
      </w:r>
    </w:p>
    <w:p w14:paraId="5B2D08FD">
      <w:pPr>
        <w:ind w:left="907"/>
        <w:rPr>
          <w:rFonts w:ascii="宋体" w:hAnsi="宋体" w:cs="宋体"/>
          <w:color w:val="000000" w:themeColor="text1"/>
          <w:sz w:val="22"/>
          <w:szCs w:val="22"/>
          <w:highlight w:val="none"/>
          <w14:textFill>
            <w14:solidFill>
              <w14:schemeClr w14:val="tx1"/>
            </w14:solidFill>
          </w14:textFill>
        </w:rPr>
      </w:pPr>
    </w:p>
    <w:p w14:paraId="7D73031F">
      <w:pPr>
        <w:numPr>
          <w:ilvl w:val="0"/>
          <w:numId w:val="11"/>
        </w:numPr>
        <w:rPr>
          <w:rFonts w:ascii="宋体" w:hAnsi="宋体" w:cs="宋体"/>
          <w:color w:val="000000" w:themeColor="text1"/>
          <w:sz w:val="22"/>
          <w:szCs w:val="22"/>
          <w:highlight w:val="none"/>
          <w14:textFill>
            <w14:solidFill>
              <w14:schemeClr w14:val="tx1"/>
            </w14:solidFill>
          </w14:textFill>
        </w:rPr>
      </w:pPr>
      <w:bookmarkStart w:id="39" w:name="_Toc73521553"/>
      <w:bookmarkStart w:id="40" w:name="_Toc73521641"/>
      <w:bookmarkStart w:id="41" w:name="_Toc60560631"/>
      <w:bookmarkStart w:id="42" w:name="_Toc73517645"/>
      <w:bookmarkStart w:id="43" w:name="_Toc100052370"/>
      <w:bookmarkStart w:id="44" w:name="_Toc60631626"/>
      <w:bookmarkStart w:id="45" w:name="_Toc73518123"/>
      <w:r>
        <w:rPr>
          <w:rFonts w:hint="eastAsia" w:ascii="宋体" w:hAnsi="宋体" w:cs="宋体"/>
          <w:color w:val="000000" w:themeColor="text1"/>
          <w:sz w:val="22"/>
          <w:szCs w:val="22"/>
          <w:highlight w:val="none"/>
          <w14:textFill>
            <w14:solidFill>
              <w14:schemeClr w14:val="tx1"/>
            </w14:solidFill>
          </w14:textFill>
        </w:rPr>
        <w:t>联合体投标</w:t>
      </w:r>
    </w:p>
    <w:p w14:paraId="7DFE206E">
      <w:pPr>
        <w:numPr>
          <w:ilvl w:val="1"/>
          <w:numId w:val="12"/>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以下有关联合体投标的条款仅适用于允许投标人组成联合体投标的项目。</w:t>
      </w:r>
    </w:p>
    <w:p w14:paraId="69EFD5B1">
      <w:pPr>
        <w:numPr>
          <w:ilvl w:val="1"/>
          <w:numId w:val="12"/>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由两个或两个以上的自然人、法人或者其他组织可以组成一个联合体，以一个供应商的身份共同投标时，应符合以下原则：</w:t>
      </w:r>
    </w:p>
    <w:p w14:paraId="181C37E9">
      <w:pPr>
        <w:numPr>
          <w:ilvl w:val="2"/>
          <w:numId w:val="13"/>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 xml:space="preserve">投标联合体各方参加政府采购活动应当具备下列条件： </w:t>
      </w:r>
    </w:p>
    <w:p w14:paraId="567DC974">
      <w:pPr>
        <w:numPr>
          <w:ilvl w:val="3"/>
          <w:numId w:val="14"/>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 xml:space="preserve">具有独立承担民事责任的能力； </w:t>
      </w:r>
    </w:p>
    <w:p w14:paraId="59DC6C91">
      <w:pPr>
        <w:numPr>
          <w:ilvl w:val="3"/>
          <w:numId w:val="14"/>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 xml:space="preserve">有良好的商业信誉和健全的财务会计制度； </w:t>
      </w:r>
    </w:p>
    <w:p w14:paraId="6E90554C">
      <w:pPr>
        <w:numPr>
          <w:ilvl w:val="3"/>
          <w:numId w:val="14"/>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 xml:space="preserve">具有履行合同所必需的设备和专业技术能力； </w:t>
      </w:r>
    </w:p>
    <w:p w14:paraId="37394BEE">
      <w:pPr>
        <w:numPr>
          <w:ilvl w:val="3"/>
          <w:numId w:val="14"/>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 xml:space="preserve">有依法缴纳税收和社会保障资金的良好记录； </w:t>
      </w:r>
    </w:p>
    <w:p w14:paraId="735F671A">
      <w:pPr>
        <w:numPr>
          <w:ilvl w:val="3"/>
          <w:numId w:val="14"/>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 xml:space="preserve">参加政府采购活动前三年内，在经营活动中没有重大违法记录； </w:t>
      </w:r>
    </w:p>
    <w:p w14:paraId="44512AC5">
      <w:pPr>
        <w:numPr>
          <w:ilvl w:val="3"/>
          <w:numId w:val="14"/>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 xml:space="preserve">法律、行政法规规定的其他条件。 </w:t>
      </w:r>
    </w:p>
    <w:p w14:paraId="5DCC017D">
      <w:pPr>
        <w:numPr>
          <w:ilvl w:val="2"/>
          <w:numId w:val="13"/>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投标联合体各方必须有一方先行注册成深圳政府采购代理机构供应商；</w:t>
      </w:r>
    </w:p>
    <w:p w14:paraId="2FA1DD5A">
      <w:pPr>
        <w:numPr>
          <w:ilvl w:val="2"/>
          <w:numId w:val="13"/>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采购人根据采购项目的特殊要求规定投标人特定条件的，联合体各方中至少应当有一方符合采购人规定的特定条件。对于采购公告对投标人某一资格有要求的，按照联合体各方中最低资质等级确定联合体的资质等级；联合体各方的不同资质可优势互补。</w:t>
      </w:r>
    </w:p>
    <w:p w14:paraId="5C754441">
      <w:pPr>
        <w:numPr>
          <w:ilvl w:val="2"/>
          <w:numId w:val="13"/>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投标人的投标文件及中标后签署的合同协议对联合体各方均具法律约束力；</w:t>
      </w:r>
    </w:p>
    <w:p w14:paraId="7FA28589">
      <w:pPr>
        <w:numPr>
          <w:ilvl w:val="2"/>
          <w:numId w:val="13"/>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联合体各方应当签订共同投标协议，明确约定各方拟承担的工作和责任，并将该共同投标协议随投标文件一并递交给政府采购代理机构；</w:t>
      </w:r>
    </w:p>
    <w:p w14:paraId="1E900527">
      <w:pPr>
        <w:numPr>
          <w:ilvl w:val="2"/>
          <w:numId w:val="13"/>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联合体中标后，联合体各方应当共同与采购单位签订合同，就中标项目向采购单位承担连带责任；</w:t>
      </w:r>
    </w:p>
    <w:p w14:paraId="110B57A0">
      <w:pPr>
        <w:numPr>
          <w:ilvl w:val="2"/>
          <w:numId w:val="13"/>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联合体的各方应当共同推荐一联合体投标授权代表方，由联合体各方提交一份授权书，证明其有资格代表联合体各方签署投标文件，该授权书作为投标文件的组成部分一并提交给政府采购代理机构；</w:t>
      </w:r>
    </w:p>
    <w:p w14:paraId="7947E52C">
      <w:pPr>
        <w:numPr>
          <w:ilvl w:val="2"/>
          <w:numId w:val="13"/>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参加联合体的各方不得再以自己名义单独在同一项目中投标，不得组成新的联合体参加同一项目投标，也不得以分包商或其它形式参与同一项目投标，出现上述情况者，其投标和与此有关联合体、总包单位的投标将被拒绝；</w:t>
      </w:r>
    </w:p>
    <w:p w14:paraId="6A645728">
      <w:pPr>
        <w:numPr>
          <w:ilvl w:val="2"/>
          <w:numId w:val="13"/>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除非另有规定或说明，本通用条款中“投标人”一词亦指联合体各方。</w:t>
      </w:r>
    </w:p>
    <w:p w14:paraId="2F1AA682">
      <w:pPr>
        <w:ind w:left="907"/>
        <w:rPr>
          <w:rFonts w:ascii="宋体" w:hAnsi="宋体" w:cs="宋体"/>
          <w:color w:val="000000" w:themeColor="text1"/>
          <w:sz w:val="22"/>
          <w:szCs w:val="22"/>
          <w:highlight w:val="none"/>
          <w14:textFill>
            <w14:solidFill>
              <w14:schemeClr w14:val="tx1"/>
            </w14:solidFill>
          </w14:textFill>
        </w:rPr>
      </w:pPr>
    </w:p>
    <w:p w14:paraId="137F34DD">
      <w:pPr>
        <w:numPr>
          <w:ilvl w:val="0"/>
          <w:numId w:val="11"/>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本项目若涉及采购货物，则合格的货物及相应服务应满足以下要求：</w:t>
      </w:r>
    </w:p>
    <w:p w14:paraId="396ED6F4">
      <w:pPr>
        <w:numPr>
          <w:ilvl w:val="1"/>
          <w:numId w:val="12"/>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必须是全新、未使用过的原装合格正品（包括零部件），如安装或配置了软件的，须为正版软件。</w:t>
      </w:r>
    </w:p>
    <w:p w14:paraId="6B25825B">
      <w:pPr>
        <w:numPr>
          <w:ilvl w:val="1"/>
          <w:numId w:val="12"/>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国产的货物及其有关服务必须符合中华人民共和国的设计和制造生产标准或行业标准。采购公告有其他要求的，亦应符合其要求。</w:t>
      </w:r>
    </w:p>
    <w:p w14:paraId="65AEFE17">
      <w:pPr>
        <w:numPr>
          <w:ilvl w:val="1"/>
          <w:numId w:val="12"/>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进口货物及其有关服务必须符合原产地和/或中华人民共和国的设计和制造生产标准或行业标准。进口的货物必须具有合法的进口手续和途径，并通过中华人民共和国商检部门检验。采购公告有其他要求的，亦应符合其要求。</w:t>
      </w:r>
    </w:p>
    <w:p w14:paraId="35C08B24">
      <w:pPr>
        <w:numPr>
          <w:ilvl w:val="1"/>
          <w:numId w:val="12"/>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投标人应保证，其所提供的货物在提供给采购单位前具有完全的所有权，采购单位在中华人民共和国使用该货物或货物的任何一部分时，不会产生因第三方提出的包括但不限于侵犯其专利权、商标权、工业设计权等知识产权和侵犯其所有权、抵押权等物权及其他权利而引发的纠纷。如有纠纷，投标人应承担全部责任。</w:t>
      </w:r>
    </w:p>
    <w:p w14:paraId="19B8FEFA">
      <w:pPr>
        <w:numPr>
          <w:ilvl w:val="1"/>
          <w:numId w:val="12"/>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投标人应保证，其所提供的货物应具有行政主管部门颁发的资质证书或国家质量监督部门的产品《检验报告》。设备到货验收时，还必须提供设备的产品合格证、质量保证文件。若中标后，除非另有约定，投标人必须按合同规定完成设备的安装，并达到验收标准。</w:t>
      </w:r>
    </w:p>
    <w:p w14:paraId="14FFF6C8">
      <w:pPr>
        <w:numPr>
          <w:ilvl w:val="1"/>
          <w:numId w:val="12"/>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对工期的要求：投标人在投标时对其所投项目应提交详细的《交货进度表》，列明交货计划等，在合同规定的时间内完工验收。</w:t>
      </w:r>
    </w:p>
    <w:p w14:paraId="282CB158">
      <w:pPr>
        <w:numPr>
          <w:ilvl w:val="1"/>
          <w:numId w:val="12"/>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除非下文另有规定，产品有效期为：密封存放在阴凉、干燥、通风、温度为-5°Ｃ～４０°Ｃ的环境中，有效期八年。特殊要求的另行规定。</w:t>
      </w:r>
    </w:p>
    <w:p w14:paraId="66D67DB1">
      <w:pPr>
        <w:numPr>
          <w:ilvl w:val="1"/>
          <w:numId w:val="12"/>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服务响应期：4小时以内到达采购单位现场。特殊要求的另行规定。</w:t>
      </w:r>
    </w:p>
    <w:p w14:paraId="0B7DD469">
      <w:pPr>
        <w:numPr>
          <w:ilvl w:val="1"/>
          <w:numId w:val="12"/>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投标人必须承担的设备运输、安装调试、验收检测和提供设备操作说明书、图纸等其他相关及类似的义务。</w:t>
      </w:r>
    </w:p>
    <w:p w14:paraId="1B62B913">
      <w:pPr>
        <w:ind w:left="907"/>
        <w:rPr>
          <w:rFonts w:ascii="宋体" w:hAnsi="宋体" w:cs="宋体"/>
          <w:color w:val="000000" w:themeColor="text1"/>
          <w:sz w:val="22"/>
          <w:szCs w:val="22"/>
          <w:highlight w:val="none"/>
          <w14:textFill>
            <w14:solidFill>
              <w14:schemeClr w14:val="tx1"/>
            </w14:solidFill>
          </w14:textFill>
        </w:rPr>
      </w:pPr>
    </w:p>
    <w:p w14:paraId="6ECA7242">
      <w:pPr>
        <w:numPr>
          <w:ilvl w:val="0"/>
          <w:numId w:val="11"/>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投标费用</w:t>
      </w:r>
      <w:bookmarkEnd w:id="39"/>
      <w:bookmarkEnd w:id="40"/>
      <w:bookmarkEnd w:id="41"/>
      <w:bookmarkEnd w:id="42"/>
      <w:bookmarkEnd w:id="43"/>
      <w:bookmarkEnd w:id="44"/>
      <w:bookmarkEnd w:id="45"/>
    </w:p>
    <w:p w14:paraId="6D9F0672">
      <w:pPr>
        <w:numPr>
          <w:ilvl w:val="1"/>
          <w:numId w:val="12"/>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不论投标结果如何，投标人应承担其编制投标文件与递交投标文件所涉及的一切费用。</w:t>
      </w:r>
    </w:p>
    <w:p w14:paraId="65C78E27">
      <w:pPr>
        <w:ind w:left="907"/>
        <w:rPr>
          <w:rFonts w:ascii="宋体" w:hAnsi="宋体" w:cs="宋体"/>
          <w:color w:val="000000" w:themeColor="text1"/>
          <w:sz w:val="22"/>
          <w:szCs w:val="22"/>
          <w:highlight w:val="none"/>
          <w14:textFill>
            <w14:solidFill>
              <w14:schemeClr w14:val="tx1"/>
            </w14:solidFill>
          </w14:textFill>
        </w:rPr>
      </w:pPr>
    </w:p>
    <w:p w14:paraId="6027AD8C">
      <w:pPr>
        <w:numPr>
          <w:ilvl w:val="0"/>
          <w:numId w:val="11"/>
        </w:numPr>
        <w:rPr>
          <w:rFonts w:ascii="宋体" w:hAnsi="宋体" w:cs="宋体"/>
          <w:color w:val="000000" w:themeColor="text1"/>
          <w:sz w:val="22"/>
          <w:szCs w:val="22"/>
          <w:highlight w:val="none"/>
          <w14:textFill>
            <w14:solidFill>
              <w14:schemeClr w14:val="tx1"/>
            </w14:solidFill>
          </w14:textFill>
        </w:rPr>
      </w:pPr>
      <w:bookmarkStart w:id="46" w:name="_Toc73518124"/>
      <w:bookmarkStart w:id="47" w:name="_Toc60631627"/>
      <w:bookmarkStart w:id="48" w:name="_Toc73517646"/>
      <w:bookmarkStart w:id="49" w:name="_Toc60560632"/>
      <w:bookmarkStart w:id="50" w:name="_Toc73521554"/>
      <w:bookmarkStart w:id="51" w:name="_Toc73521642"/>
      <w:bookmarkStart w:id="52" w:name="_Toc100052371"/>
      <w:r>
        <w:rPr>
          <w:rFonts w:hint="eastAsia" w:ascii="宋体" w:hAnsi="宋体" w:cs="宋体"/>
          <w:color w:val="000000" w:themeColor="text1"/>
          <w:sz w:val="22"/>
          <w:szCs w:val="22"/>
          <w:highlight w:val="none"/>
          <w14:textFill>
            <w14:solidFill>
              <w14:schemeClr w14:val="tx1"/>
            </w14:solidFill>
          </w14:textFill>
        </w:rPr>
        <w:t>踏勘现场</w:t>
      </w:r>
      <w:bookmarkEnd w:id="46"/>
      <w:bookmarkEnd w:id="47"/>
      <w:bookmarkEnd w:id="48"/>
      <w:bookmarkEnd w:id="49"/>
      <w:bookmarkEnd w:id="50"/>
      <w:bookmarkEnd w:id="51"/>
      <w:bookmarkEnd w:id="52"/>
    </w:p>
    <w:p w14:paraId="34CC00D8">
      <w:pPr>
        <w:numPr>
          <w:ilvl w:val="1"/>
          <w:numId w:val="12"/>
        </w:numPr>
        <w:rPr>
          <w:rFonts w:ascii="宋体" w:hAnsi="宋体" w:cs="宋体"/>
          <w:color w:val="000000" w:themeColor="text1"/>
          <w:sz w:val="22"/>
          <w:szCs w:val="22"/>
          <w:highlight w:val="none"/>
          <w14:textFill>
            <w14:solidFill>
              <w14:schemeClr w14:val="tx1"/>
            </w14:solidFill>
          </w14:textFill>
        </w:rPr>
      </w:pPr>
      <w:bookmarkStart w:id="53" w:name="_Toc78260681"/>
      <w:bookmarkStart w:id="54" w:name="_Toc100052372"/>
      <w:r>
        <w:rPr>
          <w:rFonts w:hint="eastAsia" w:ascii="宋体" w:hAnsi="宋体" w:cs="宋体"/>
          <w:color w:val="000000" w:themeColor="text1"/>
          <w:sz w:val="22"/>
          <w:szCs w:val="22"/>
          <w:highlight w:val="none"/>
          <w14:textFill>
            <w14:solidFill>
              <w14:schemeClr w14:val="tx1"/>
            </w14:solidFill>
          </w14:textFill>
        </w:rPr>
        <w:t>如有需要，政府采购代理机构或采购单位将组织投标人对项目现场及周围环境进行踏勘，以便投标人获取有关编制投标文件和签署合同所需的所有资料。踏勘现场所发生的费用由投标人自己承担，投标人应按采购公告所约定的时间、地点统一踏勘现场。</w:t>
      </w:r>
    </w:p>
    <w:p w14:paraId="78F91C59">
      <w:pPr>
        <w:numPr>
          <w:ilvl w:val="1"/>
          <w:numId w:val="12"/>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投标人及其人员经过采购单位的允许，可以踏勘目的进入采购单位的项目现场。若本项目采购文件要求投标人于统一时间地点踏勘现场的，投标人应当按时前往。</w:t>
      </w:r>
    </w:p>
    <w:p w14:paraId="5121C3C5">
      <w:pPr>
        <w:numPr>
          <w:ilvl w:val="1"/>
          <w:numId w:val="12"/>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采购单位必须通过政府采购代理机构向投标人提供有关现场的资料和数据。</w:t>
      </w:r>
    </w:p>
    <w:p w14:paraId="53183838">
      <w:pPr>
        <w:numPr>
          <w:ilvl w:val="1"/>
          <w:numId w:val="12"/>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任何人或任何组织在踏勘现场时向投标人提交的任何书面或口头上的资料，未经政府采购代理机构在网上发布或书面通知，均作无效处理。政府采购代理机构对投标人由此而做出的推论、理解和结论概不负责。</w:t>
      </w:r>
    </w:p>
    <w:p w14:paraId="39D92671">
      <w:pPr>
        <w:numPr>
          <w:ilvl w:val="1"/>
          <w:numId w:val="12"/>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未参与现场踏勘不作为否定投标人资格的理由。</w:t>
      </w:r>
    </w:p>
    <w:p w14:paraId="45B79E75">
      <w:pPr>
        <w:ind w:left="907"/>
        <w:rPr>
          <w:rFonts w:ascii="宋体" w:hAnsi="宋体" w:cs="宋体"/>
          <w:color w:val="000000" w:themeColor="text1"/>
          <w:sz w:val="22"/>
          <w:szCs w:val="22"/>
          <w:highlight w:val="none"/>
          <w14:textFill>
            <w14:solidFill>
              <w14:schemeClr w14:val="tx1"/>
            </w14:solidFill>
          </w14:textFill>
        </w:rPr>
      </w:pPr>
    </w:p>
    <w:p w14:paraId="2219812F">
      <w:pPr>
        <w:numPr>
          <w:ilvl w:val="0"/>
          <w:numId w:val="11"/>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招标</w:t>
      </w:r>
      <w:bookmarkEnd w:id="53"/>
      <w:r>
        <w:rPr>
          <w:rFonts w:hint="eastAsia" w:ascii="宋体" w:hAnsi="宋体" w:cs="宋体"/>
          <w:color w:val="000000" w:themeColor="text1"/>
          <w:sz w:val="22"/>
          <w:szCs w:val="22"/>
          <w:highlight w:val="none"/>
          <w14:textFill>
            <w14:solidFill>
              <w14:schemeClr w14:val="tx1"/>
            </w14:solidFill>
          </w14:textFill>
        </w:rPr>
        <w:t>答疑</w:t>
      </w:r>
      <w:bookmarkEnd w:id="54"/>
    </w:p>
    <w:p w14:paraId="2661FE3F">
      <w:pPr>
        <w:numPr>
          <w:ilvl w:val="1"/>
          <w:numId w:val="12"/>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招标答疑的目的是澄清、解答投标人在查阅采购文件后或现场踏勘中可能提出的与投标有关的疑问或询问。</w:t>
      </w:r>
    </w:p>
    <w:p w14:paraId="50FF126B">
      <w:pPr>
        <w:numPr>
          <w:ilvl w:val="1"/>
          <w:numId w:val="12"/>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投标人提出的与投标有关的问题须在采购文件规定的答疑截止时间前以网上提问形式提交给政府采购代理机构。</w:t>
      </w:r>
    </w:p>
    <w:p w14:paraId="3DA54441">
      <w:pPr>
        <w:numPr>
          <w:ilvl w:val="1"/>
          <w:numId w:val="12"/>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政府采购代理机构对疑问所做出的澄清和解答，以书面答复（包括网站发布信息）为准。答疑纪要的有效性规定按照本通用条款第13.3、13.4款规定执行。</w:t>
      </w:r>
    </w:p>
    <w:p w14:paraId="55170172">
      <w:pPr>
        <w:numPr>
          <w:ilvl w:val="1"/>
          <w:numId w:val="12"/>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如政府采购代理机构认为有必要组织现场答疑会，投标人应按照采购文件规定的时间或政府采购代理机构另行书面通知（包括网站发布的通知）的时间和地点，参与现场答疑会。</w:t>
      </w:r>
    </w:p>
    <w:p w14:paraId="269E45A3">
      <w:pPr>
        <w:numPr>
          <w:ilvl w:val="1"/>
          <w:numId w:val="12"/>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未参与招标答疑不作为否定投标人资格的理由。</w:t>
      </w:r>
    </w:p>
    <w:p w14:paraId="002CD773">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bookmarkStart w:id="55" w:name="bt招标文件"/>
      <w:bookmarkEnd w:id="55"/>
      <w:bookmarkStart w:id="56" w:name="_Toc73518126"/>
      <w:bookmarkStart w:id="57" w:name="_Toc73521644"/>
      <w:bookmarkStart w:id="58" w:name="_Toc100052373"/>
      <w:bookmarkStart w:id="59" w:name="_Toc101074878"/>
      <w:bookmarkStart w:id="60" w:name="_Toc73517648"/>
      <w:bookmarkStart w:id="61" w:name="_Toc73521556"/>
    </w:p>
    <w:p w14:paraId="55F8A2DD">
      <w:pPr>
        <w:rPr>
          <w:color w:val="000000" w:themeColor="text1"/>
          <w:highlight w:val="none"/>
          <w14:textFill>
            <w14:solidFill>
              <w14:schemeClr w14:val="tx1"/>
            </w14:solidFill>
          </w14:textFill>
        </w:rPr>
      </w:pPr>
    </w:p>
    <w:p w14:paraId="5E48CEB2">
      <w:pPr>
        <w:rPr>
          <w:color w:val="000000" w:themeColor="text1"/>
          <w:highlight w:val="none"/>
          <w14:textFill>
            <w14:solidFill>
              <w14:schemeClr w14:val="tx1"/>
            </w14:solidFill>
          </w14:textFill>
        </w:rPr>
      </w:pPr>
    </w:p>
    <w:p w14:paraId="7EF5A21C">
      <w:pPr>
        <w:rPr>
          <w:color w:val="000000" w:themeColor="text1"/>
          <w:highlight w:val="none"/>
          <w14:textFill>
            <w14:solidFill>
              <w14:schemeClr w14:val="tx1"/>
            </w14:solidFill>
          </w14:textFill>
        </w:rPr>
      </w:pPr>
    </w:p>
    <w:p w14:paraId="1DCF66EF">
      <w:pPr>
        <w:rPr>
          <w:color w:val="000000" w:themeColor="text1"/>
          <w:highlight w:val="none"/>
          <w14:textFill>
            <w14:solidFill>
              <w14:schemeClr w14:val="tx1"/>
            </w14:solidFill>
          </w14:textFill>
        </w:rPr>
      </w:pPr>
    </w:p>
    <w:p w14:paraId="324E7A20">
      <w:pPr>
        <w:rPr>
          <w:color w:val="000000" w:themeColor="text1"/>
          <w:highlight w:val="none"/>
          <w14:textFill>
            <w14:solidFill>
              <w14:schemeClr w14:val="tx1"/>
            </w14:solidFill>
          </w14:textFill>
        </w:rPr>
      </w:pPr>
    </w:p>
    <w:p w14:paraId="759BCAC7">
      <w:pPr>
        <w:rPr>
          <w:color w:val="000000" w:themeColor="text1"/>
          <w:highlight w:val="none"/>
          <w14:textFill>
            <w14:solidFill>
              <w14:schemeClr w14:val="tx1"/>
            </w14:solidFill>
          </w14:textFill>
        </w:rPr>
      </w:pPr>
    </w:p>
    <w:p w14:paraId="5D1BBA3C">
      <w:pPr>
        <w:rPr>
          <w:color w:val="000000" w:themeColor="text1"/>
          <w:highlight w:val="none"/>
          <w14:textFill>
            <w14:solidFill>
              <w14:schemeClr w14:val="tx1"/>
            </w14:solidFill>
          </w14:textFill>
        </w:rPr>
      </w:pPr>
    </w:p>
    <w:p w14:paraId="734DD879">
      <w:pPr>
        <w:rPr>
          <w:color w:val="000000" w:themeColor="text1"/>
          <w:highlight w:val="none"/>
          <w14:textFill>
            <w14:solidFill>
              <w14:schemeClr w14:val="tx1"/>
            </w14:solidFill>
          </w14:textFill>
        </w:rPr>
      </w:pPr>
    </w:p>
    <w:p w14:paraId="7B044AE2">
      <w:pPr>
        <w:rPr>
          <w:color w:val="000000" w:themeColor="text1"/>
          <w:highlight w:val="none"/>
          <w14:textFill>
            <w14:solidFill>
              <w14:schemeClr w14:val="tx1"/>
            </w14:solidFill>
          </w14:textFill>
        </w:rPr>
      </w:pPr>
    </w:p>
    <w:p w14:paraId="02DF972E">
      <w:pPr>
        <w:rPr>
          <w:color w:val="000000" w:themeColor="text1"/>
          <w:highlight w:val="none"/>
          <w14:textFill>
            <w14:solidFill>
              <w14:schemeClr w14:val="tx1"/>
            </w14:solidFill>
          </w14:textFill>
        </w:rPr>
      </w:pPr>
    </w:p>
    <w:p w14:paraId="1B9120DB">
      <w:pPr>
        <w:rPr>
          <w:color w:val="000000" w:themeColor="text1"/>
          <w:highlight w:val="none"/>
          <w14:textFill>
            <w14:solidFill>
              <w14:schemeClr w14:val="tx1"/>
            </w14:solidFill>
          </w14:textFill>
        </w:rPr>
      </w:pPr>
    </w:p>
    <w:p w14:paraId="1593DBA2">
      <w:pPr>
        <w:rPr>
          <w:color w:val="000000" w:themeColor="text1"/>
          <w:highlight w:val="none"/>
          <w14:textFill>
            <w14:solidFill>
              <w14:schemeClr w14:val="tx1"/>
            </w14:solidFill>
          </w14:textFill>
        </w:rPr>
      </w:pPr>
    </w:p>
    <w:p w14:paraId="6060AD81">
      <w:pPr>
        <w:rPr>
          <w:color w:val="000000" w:themeColor="text1"/>
          <w:highlight w:val="none"/>
          <w14:textFill>
            <w14:solidFill>
              <w14:schemeClr w14:val="tx1"/>
            </w14:solidFill>
          </w14:textFill>
        </w:rPr>
      </w:pPr>
    </w:p>
    <w:p w14:paraId="64525D79">
      <w:pPr>
        <w:rPr>
          <w:color w:val="000000" w:themeColor="text1"/>
          <w:highlight w:val="none"/>
          <w14:textFill>
            <w14:solidFill>
              <w14:schemeClr w14:val="tx1"/>
            </w14:solidFill>
          </w14:textFill>
        </w:rPr>
      </w:pPr>
    </w:p>
    <w:p w14:paraId="4966D265">
      <w:pPr>
        <w:rPr>
          <w:color w:val="000000" w:themeColor="text1"/>
          <w:highlight w:val="none"/>
          <w14:textFill>
            <w14:solidFill>
              <w14:schemeClr w14:val="tx1"/>
            </w14:solidFill>
          </w14:textFill>
        </w:rPr>
      </w:pPr>
    </w:p>
    <w:p w14:paraId="688F6874">
      <w:pPr>
        <w:pStyle w:val="3"/>
        <w:spacing w:line="240" w:lineRule="auto"/>
        <w:rPr>
          <w:color w:val="000000" w:themeColor="text1"/>
          <w:szCs w:val="28"/>
          <w:highlight w:val="none"/>
          <w14:textFill>
            <w14:solidFill>
              <w14:schemeClr w14:val="tx1"/>
            </w14:solidFill>
          </w14:textFill>
        </w:rPr>
      </w:pPr>
      <w:r>
        <w:rPr>
          <w:b/>
          <w:bCs/>
          <w:color w:val="000000" w:themeColor="text1"/>
          <w:kern w:val="28"/>
          <w:sz w:val="44"/>
          <w:szCs w:val="44"/>
          <w:highlight w:val="none"/>
          <w14:textFill>
            <w14:solidFill>
              <w14:schemeClr w14:val="tx1"/>
            </w14:solidFill>
          </w14:textFill>
        </w:rPr>
        <w:t>第二章  采购文件</w:t>
      </w:r>
      <w:r>
        <w:rPr>
          <w:b/>
          <w:bCs/>
          <w:color w:val="000000" w:themeColor="text1"/>
          <w:kern w:val="28"/>
          <w:sz w:val="44"/>
          <w:szCs w:val="44"/>
          <w:highlight w:val="none"/>
          <w14:textFill>
            <w14:solidFill>
              <w14:schemeClr w14:val="tx1"/>
            </w14:solidFill>
          </w14:textFill>
        </w:rPr>
        <w:br w:type="page"/>
      </w:r>
      <w:bookmarkEnd w:id="56"/>
      <w:bookmarkEnd w:id="57"/>
      <w:bookmarkEnd w:id="58"/>
      <w:bookmarkEnd w:id="59"/>
      <w:bookmarkEnd w:id="60"/>
      <w:bookmarkEnd w:id="61"/>
    </w:p>
    <w:p w14:paraId="0A2F88F4">
      <w:pPr>
        <w:rPr>
          <w:color w:val="000000" w:themeColor="text1"/>
          <w:highlight w:val="none"/>
          <w14:textFill>
            <w14:solidFill>
              <w14:schemeClr w14:val="tx1"/>
            </w14:solidFill>
          </w14:textFill>
        </w:rPr>
      </w:pPr>
    </w:p>
    <w:p w14:paraId="585A4CC6">
      <w:pPr>
        <w:numPr>
          <w:ilvl w:val="0"/>
          <w:numId w:val="11"/>
        </w:numPr>
        <w:rPr>
          <w:rFonts w:ascii="宋体" w:hAnsi="宋体" w:cs="宋体"/>
          <w:color w:val="000000" w:themeColor="text1"/>
          <w:sz w:val="22"/>
          <w:szCs w:val="22"/>
          <w:highlight w:val="none"/>
          <w14:textFill>
            <w14:solidFill>
              <w14:schemeClr w14:val="tx1"/>
            </w14:solidFill>
          </w14:textFill>
        </w:rPr>
      </w:pPr>
      <w:bookmarkStart w:id="62" w:name="_Toc73517649"/>
      <w:bookmarkStart w:id="63" w:name="_Toc73521557"/>
      <w:bookmarkStart w:id="64" w:name="_Toc73518127"/>
      <w:bookmarkStart w:id="65" w:name="_Toc73521645"/>
      <w:bookmarkStart w:id="66" w:name="_Toc100052374"/>
      <w:r>
        <w:rPr>
          <w:rFonts w:hint="eastAsia" w:ascii="宋体" w:hAnsi="宋体" w:cs="宋体"/>
          <w:color w:val="000000" w:themeColor="text1"/>
          <w:sz w:val="22"/>
          <w:szCs w:val="22"/>
          <w:highlight w:val="none"/>
          <w14:textFill>
            <w14:solidFill>
              <w14:schemeClr w14:val="tx1"/>
            </w14:solidFill>
          </w14:textFill>
        </w:rPr>
        <w:t>采购文件的编制与组成</w:t>
      </w:r>
      <w:bookmarkEnd w:id="62"/>
      <w:bookmarkEnd w:id="63"/>
      <w:bookmarkEnd w:id="64"/>
      <w:bookmarkEnd w:id="65"/>
      <w:bookmarkEnd w:id="66"/>
    </w:p>
    <w:p w14:paraId="7726F401">
      <w:pPr>
        <w:numPr>
          <w:ilvl w:val="1"/>
          <w:numId w:val="12"/>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采购文件除以下内容外，政府采购代理机构在招标（或谈判）期间发出的答疑纪要和其他补充修改函件，均是采购文件的组成部分，对投标人起约束作用；</w:t>
      </w:r>
    </w:p>
    <w:p w14:paraId="66ECD9B7">
      <w:pPr>
        <w:ind w:left="907"/>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采购文件包括下列内容：</w:t>
      </w:r>
    </w:p>
    <w:p w14:paraId="199D8079">
      <w:pPr>
        <w:ind w:left="907"/>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第一册  专用条款</w:t>
      </w:r>
    </w:p>
    <w:p w14:paraId="6E4E0AE5">
      <w:pPr>
        <w:ind w:left="907"/>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关键信息</w:t>
      </w:r>
    </w:p>
    <w:p w14:paraId="4CC66010">
      <w:pPr>
        <w:ind w:left="907"/>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第一章  招标公告</w:t>
      </w:r>
    </w:p>
    <w:p w14:paraId="51C42F19">
      <w:pPr>
        <w:ind w:left="907"/>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第二章  招标项目需求</w:t>
      </w:r>
    </w:p>
    <w:p w14:paraId="2605167A">
      <w:pPr>
        <w:ind w:left="907"/>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第三章  合同条款及格式</w:t>
      </w:r>
    </w:p>
    <w:p w14:paraId="08D30A2A">
      <w:pPr>
        <w:ind w:left="907"/>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第四章  投标文件格式、附件</w:t>
      </w:r>
    </w:p>
    <w:p w14:paraId="52D69207">
      <w:pPr>
        <w:ind w:left="907"/>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第五章  政府采购履约情况反馈表</w:t>
      </w:r>
    </w:p>
    <w:p w14:paraId="6D0F507C">
      <w:pPr>
        <w:ind w:left="907"/>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第二册  通用条款</w:t>
      </w:r>
    </w:p>
    <w:p w14:paraId="757E4324">
      <w:pPr>
        <w:ind w:left="907"/>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第一章  总则</w:t>
      </w:r>
    </w:p>
    <w:p w14:paraId="3BE38557">
      <w:pPr>
        <w:ind w:left="907"/>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第二章  采购文件</w:t>
      </w:r>
    </w:p>
    <w:p w14:paraId="48E60DD2">
      <w:pPr>
        <w:ind w:left="907"/>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第三章  投标文件的编制</w:t>
      </w:r>
    </w:p>
    <w:p w14:paraId="5C3A6CEA">
      <w:pPr>
        <w:ind w:left="907"/>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第四章  投标文件的递交</w:t>
      </w:r>
    </w:p>
    <w:p w14:paraId="63281460">
      <w:pPr>
        <w:ind w:left="907"/>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第五章  开标</w:t>
      </w:r>
    </w:p>
    <w:p w14:paraId="2F958776">
      <w:pPr>
        <w:ind w:left="907"/>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第六章  评标要求</w:t>
      </w:r>
    </w:p>
    <w:p w14:paraId="739C0452">
      <w:pPr>
        <w:ind w:left="907"/>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第七章  评标程序及评标方法</w:t>
      </w:r>
    </w:p>
    <w:p w14:paraId="6C14EE82">
      <w:pPr>
        <w:ind w:left="907"/>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第八章  定标及公示</w:t>
      </w:r>
    </w:p>
    <w:p w14:paraId="0186A85E">
      <w:pPr>
        <w:ind w:left="907"/>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第九章  公开招标失败的后续处理</w:t>
      </w:r>
    </w:p>
    <w:p w14:paraId="246C3C48">
      <w:pPr>
        <w:ind w:left="907"/>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第十章  合同的授予与备案</w:t>
      </w:r>
    </w:p>
    <w:p w14:paraId="3BE66D8C">
      <w:pPr>
        <w:ind w:left="907"/>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第十一章  质疑处理</w:t>
      </w:r>
    </w:p>
    <w:p w14:paraId="7780A071">
      <w:pPr>
        <w:numPr>
          <w:ilvl w:val="1"/>
          <w:numId w:val="12"/>
        </w:numPr>
        <w:rPr>
          <w:rFonts w:ascii="宋体" w:hAnsi="宋体" w:cs="宋体"/>
          <w:color w:val="000000" w:themeColor="text1"/>
          <w:sz w:val="22"/>
          <w:szCs w:val="22"/>
          <w:highlight w:val="none"/>
          <w14:textFill>
            <w14:solidFill>
              <w14:schemeClr w14:val="tx1"/>
            </w14:solidFill>
          </w14:textFill>
        </w:rPr>
      </w:pPr>
      <w:bookmarkStart w:id="67" w:name="_Toc73518128"/>
      <w:bookmarkStart w:id="68" w:name="_Toc60560636"/>
      <w:bookmarkStart w:id="69" w:name="_Toc73521646"/>
      <w:bookmarkStart w:id="70" w:name="_Toc100052375"/>
      <w:bookmarkStart w:id="71" w:name="_Toc73517650"/>
      <w:bookmarkStart w:id="72" w:name="_Toc60631631"/>
      <w:bookmarkStart w:id="73" w:name="_Toc73521558"/>
      <w:bookmarkStart w:id="74" w:name="_Toc100052376"/>
      <w:bookmarkStart w:id="75" w:name="_Toc73518129"/>
      <w:bookmarkStart w:id="76" w:name="_Toc73517651"/>
      <w:bookmarkStart w:id="77" w:name="_Toc73521559"/>
      <w:bookmarkStart w:id="78" w:name="_Toc60560637"/>
      <w:bookmarkStart w:id="79" w:name="_Toc60631632"/>
      <w:bookmarkStart w:id="80" w:name="_Toc73521647"/>
      <w:r>
        <w:rPr>
          <w:rFonts w:hint="eastAsia" w:ascii="宋体" w:hAnsi="宋体" w:cs="宋体"/>
          <w:color w:val="000000" w:themeColor="text1"/>
          <w:sz w:val="22"/>
          <w:szCs w:val="22"/>
          <w:highlight w:val="none"/>
          <w14:textFill>
            <w14:solidFill>
              <w14:schemeClr w14:val="tx1"/>
            </w14:solidFill>
          </w14:textFill>
        </w:rPr>
        <w:t>投标人收到采购文件后，应仔细检查采购文件的所有内容，如有残缺应在答疑截止时间之前向政府采购代理机构提出，否则，由此引起的投标损失自负；投标人同时应认真审阅采购文件所有的事项、格式、条款和规范要求等，如果投标人的投标文件没有按采购文件要求提交全部资料或者投标文件没有对采购文件做出实质性响应，其风险应由投标人自行承担，并根据有关条款规定，其投标有可能被拒绝。</w:t>
      </w:r>
    </w:p>
    <w:p w14:paraId="5AE64643">
      <w:pPr>
        <w:numPr>
          <w:ilvl w:val="1"/>
          <w:numId w:val="12"/>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任何人或任何组织向投标人提交的任何书面或口头资料，未经政府采购代理机构在网上发布或书面通知，均作无效处理，不得作为采购文件的组成部分。政府采购代理机构对投标人由此而做出的推论、理解和结论概不负责。</w:t>
      </w:r>
    </w:p>
    <w:p w14:paraId="350762FC">
      <w:pPr>
        <w:ind w:left="907"/>
        <w:rPr>
          <w:rFonts w:ascii="宋体" w:hAnsi="宋体" w:cs="宋体"/>
          <w:color w:val="000000" w:themeColor="text1"/>
          <w:sz w:val="22"/>
          <w:szCs w:val="22"/>
          <w:highlight w:val="none"/>
          <w14:textFill>
            <w14:solidFill>
              <w14:schemeClr w14:val="tx1"/>
            </w14:solidFill>
          </w14:textFill>
        </w:rPr>
      </w:pPr>
    </w:p>
    <w:p w14:paraId="01B508D0">
      <w:pPr>
        <w:numPr>
          <w:ilvl w:val="0"/>
          <w:numId w:val="11"/>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采购文件的澄清</w:t>
      </w:r>
      <w:bookmarkEnd w:id="67"/>
      <w:bookmarkEnd w:id="68"/>
      <w:bookmarkEnd w:id="69"/>
      <w:bookmarkEnd w:id="70"/>
      <w:bookmarkEnd w:id="71"/>
      <w:bookmarkEnd w:id="72"/>
      <w:bookmarkEnd w:id="73"/>
    </w:p>
    <w:p w14:paraId="6F6DE71E">
      <w:pPr>
        <w:numPr>
          <w:ilvl w:val="1"/>
          <w:numId w:val="12"/>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任何要求对采购文件进行澄清的潜在投标人，均应以书面形式通知采购代理机构和采购人。采购代理机构对其在投标截止期五日以前收到的对招标文件的澄清要求均以书面形式予以答复，同时将书面答复以13.2所述方式发给每个购买招标文件的潜在投标人(答复中不包括问题的来源)。</w:t>
      </w:r>
    </w:p>
    <w:p w14:paraId="660337C8">
      <w:pPr>
        <w:numPr>
          <w:ilvl w:val="1"/>
          <w:numId w:val="12"/>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对于没有提出澄清又参与了该项目投标的供应商将被视为完全认同该采购文件（含澄清纪要），投标截止期后不再受理针对采购文件的相关质疑或投诉。</w:t>
      </w:r>
    </w:p>
    <w:p w14:paraId="3F1CFB58">
      <w:pPr>
        <w:numPr>
          <w:ilvl w:val="1"/>
          <w:numId w:val="12"/>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对采购文件中描述有歧意或前后不一致的地方，评审委员会有权进行评判，但对同一条款的评判应适用于每个投标人。</w:t>
      </w:r>
    </w:p>
    <w:p w14:paraId="4A289D74">
      <w:pPr>
        <w:ind w:left="907"/>
        <w:rPr>
          <w:rFonts w:ascii="宋体" w:hAnsi="宋体" w:cs="宋体"/>
          <w:color w:val="000000" w:themeColor="text1"/>
          <w:sz w:val="22"/>
          <w:szCs w:val="22"/>
          <w:highlight w:val="none"/>
          <w14:textFill>
            <w14:solidFill>
              <w14:schemeClr w14:val="tx1"/>
            </w14:solidFill>
          </w14:textFill>
        </w:rPr>
      </w:pPr>
    </w:p>
    <w:p w14:paraId="4B77E8FC">
      <w:pPr>
        <w:numPr>
          <w:ilvl w:val="0"/>
          <w:numId w:val="11"/>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采购文件的修改</w:t>
      </w:r>
      <w:bookmarkEnd w:id="74"/>
      <w:bookmarkEnd w:id="75"/>
      <w:bookmarkEnd w:id="76"/>
      <w:bookmarkEnd w:id="77"/>
      <w:bookmarkEnd w:id="78"/>
      <w:bookmarkEnd w:id="79"/>
      <w:bookmarkEnd w:id="80"/>
    </w:p>
    <w:p w14:paraId="65A57F69">
      <w:pPr>
        <w:numPr>
          <w:ilvl w:val="1"/>
          <w:numId w:val="12"/>
        </w:numPr>
        <w:rPr>
          <w:rFonts w:ascii="宋体" w:hAnsi="宋体" w:cs="宋体"/>
          <w:color w:val="000000" w:themeColor="text1"/>
          <w:sz w:val="22"/>
          <w:szCs w:val="22"/>
          <w:highlight w:val="none"/>
          <w14:textFill>
            <w14:solidFill>
              <w14:schemeClr w14:val="tx1"/>
            </w14:solidFill>
          </w14:textFill>
        </w:rPr>
      </w:pPr>
      <w:bookmarkStart w:id="81" w:name="bt投标文件"/>
      <w:bookmarkEnd w:id="81"/>
      <w:bookmarkStart w:id="82" w:name="_Toc101074879"/>
      <w:bookmarkStart w:id="83" w:name="_Toc73517652"/>
      <w:bookmarkStart w:id="84" w:name="_Toc73521560"/>
      <w:bookmarkStart w:id="85" w:name="_Toc73521648"/>
      <w:bookmarkStart w:id="86" w:name="_Toc73518130"/>
      <w:bookmarkStart w:id="87" w:name="_Toc100052377"/>
      <w:r>
        <w:rPr>
          <w:rFonts w:hint="eastAsia" w:ascii="宋体" w:hAnsi="宋体" w:cs="宋体"/>
          <w:color w:val="000000" w:themeColor="text1"/>
          <w:sz w:val="22"/>
          <w:szCs w:val="22"/>
          <w:highlight w:val="none"/>
          <w14:textFill>
            <w14:solidFill>
              <w14:schemeClr w14:val="tx1"/>
            </w14:solidFill>
          </w14:textFill>
        </w:rPr>
        <w:t>采购代理机构和采购人可主动地或在解答潜在投标人提出的澄清问题时对采购文件进行修改。</w:t>
      </w:r>
    </w:p>
    <w:p w14:paraId="0FD05616">
      <w:pPr>
        <w:numPr>
          <w:ilvl w:val="1"/>
          <w:numId w:val="12"/>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采购文件的修改是采购文件的组成部分，采购文件的修改在深圳市东海国际招标有限公司官网(http：//www.szdhit.com)以网上公告形式发布，并对投标人具有约束力，招标期间，投标人有义务上网查看，公告一经上网发布，即视为送达。</w:t>
      </w:r>
    </w:p>
    <w:p w14:paraId="2D23D33B">
      <w:pPr>
        <w:numPr>
          <w:ilvl w:val="1"/>
          <w:numId w:val="12"/>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为使投标人准备投标时有充分时间对采购文件的修改部分进行研究，采购代理机构和采购人可适当推迟投标截止期。</w:t>
      </w:r>
    </w:p>
    <w:p w14:paraId="7410F1D1">
      <w:pPr>
        <w:rPr>
          <w:color w:val="000000" w:themeColor="text1"/>
          <w:highlight w:val="none"/>
          <w14:textFill>
            <w14:solidFill>
              <w14:schemeClr w14:val="tx1"/>
            </w14:solidFill>
          </w14:textFill>
        </w:rPr>
      </w:pPr>
    </w:p>
    <w:p w14:paraId="21963338">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p>
    <w:p w14:paraId="36C5751E">
      <w:pPr>
        <w:rPr>
          <w:color w:val="000000" w:themeColor="text1"/>
          <w:highlight w:val="none"/>
          <w14:textFill>
            <w14:solidFill>
              <w14:schemeClr w14:val="tx1"/>
            </w14:solidFill>
          </w14:textFill>
        </w:rPr>
      </w:pPr>
    </w:p>
    <w:p w14:paraId="688A8F74">
      <w:pPr>
        <w:rPr>
          <w:color w:val="000000" w:themeColor="text1"/>
          <w:highlight w:val="none"/>
          <w14:textFill>
            <w14:solidFill>
              <w14:schemeClr w14:val="tx1"/>
            </w14:solidFill>
          </w14:textFill>
        </w:rPr>
      </w:pPr>
    </w:p>
    <w:p w14:paraId="19AD04A6">
      <w:pPr>
        <w:rPr>
          <w:color w:val="000000" w:themeColor="text1"/>
          <w:highlight w:val="none"/>
          <w14:textFill>
            <w14:solidFill>
              <w14:schemeClr w14:val="tx1"/>
            </w14:solidFill>
          </w14:textFill>
        </w:rPr>
      </w:pPr>
    </w:p>
    <w:p w14:paraId="4C0397C9">
      <w:pPr>
        <w:rPr>
          <w:color w:val="000000" w:themeColor="text1"/>
          <w:highlight w:val="none"/>
          <w14:textFill>
            <w14:solidFill>
              <w14:schemeClr w14:val="tx1"/>
            </w14:solidFill>
          </w14:textFill>
        </w:rPr>
      </w:pPr>
    </w:p>
    <w:p w14:paraId="6FDAA5E0">
      <w:pPr>
        <w:rPr>
          <w:color w:val="000000" w:themeColor="text1"/>
          <w:highlight w:val="none"/>
          <w14:textFill>
            <w14:solidFill>
              <w14:schemeClr w14:val="tx1"/>
            </w14:solidFill>
          </w14:textFill>
        </w:rPr>
      </w:pPr>
    </w:p>
    <w:p w14:paraId="47302201">
      <w:pPr>
        <w:rPr>
          <w:color w:val="000000" w:themeColor="text1"/>
          <w:highlight w:val="none"/>
          <w14:textFill>
            <w14:solidFill>
              <w14:schemeClr w14:val="tx1"/>
            </w14:solidFill>
          </w14:textFill>
        </w:rPr>
      </w:pPr>
    </w:p>
    <w:p w14:paraId="6DE9BAC3">
      <w:pPr>
        <w:rPr>
          <w:color w:val="000000" w:themeColor="text1"/>
          <w:highlight w:val="none"/>
          <w14:textFill>
            <w14:solidFill>
              <w14:schemeClr w14:val="tx1"/>
            </w14:solidFill>
          </w14:textFill>
        </w:rPr>
      </w:pPr>
    </w:p>
    <w:p w14:paraId="598C1B9A">
      <w:pPr>
        <w:rPr>
          <w:color w:val="000000" w:themeColor="text1"/>
          <w:highlight w:val="none"/>
          <w14:textFill>
            <w14:solidFill>
              <w14:schemeClr w14:val="tx1"/>
            </w14:solidFill>
          </w14:textFill>
        </w:rPr>
      </w:pPr>
    </w:p>
    <w:p w14:paraId="0F1FB4DA">
      <w:pPr>
        <w:rPr>
          <w:color w:val="000000" w:themeColor="text1"/>
          <w:highlight w:val="none"/>
          <w14:textFill>
            <w14:solidFill>
              <w14:schemeClr w14:val="tx1"/>
            </w14:solidFill>
          </w14:textFill>
        </w:rPr>
      </w:pPr>
    </w:p>
    <w:p w14:paraId="23DF482E">
      <w:pPr>
        <w:rPr>
          <w:color w:val="000000" w:themeColor="text1"/>
          <w:highlight w:val="none"/>
          <w14:textFill>
            <w14:solidFill>
              <w14:schemeClr w14:val="tx1"/>
            </w14:solidFill>
          </w14:textFill>
        </w:rPr>
      </w:pPr>
    </w:p>
    <w:p w14:paraId="0C0DBD3F">
      <w:pPr>
        <w:rPr>
          <w:color w:val="000000" w:themeColor="text1"/>
          <w:highlight w:val="none"/>
          <w14:textFill>
            <w14:solidFill>
              <w14:schemeClr w14:val="tx1"/>
            </w14:solidFill>
          </w14:textFill>
        </w:rPr>
      </w:pPr>
    </w:p>
    <w:p w14:paraId="20596784">
      <w:pPr>
        <w:rPr>
          <w:color w:val="000000" w:themeColor="text1"/>
          <w:highlight w:val="none"/>
          <w14:textFill>
            <w14:solidFill>
              <w14:schemeClr w14:val="tx1"/>
            </w14:solidFill>
          </w14:textFill>
        </w:rPr>
      </w:pPr>
    </w:p>
    <w:p w14:paraId="48705643">
      <w:pPr>
        <w:rPr>
          <w:color w:val="000000" w:themeColor="text1"/>
          <w:highlight w:val="none"/>
          <w14:textFill>
            <w14:solidFill>
              <w14:schemeClr w14:val="tx1"/>
            </w14:solidFill>
          </w14:textFill>
        </w:rPr>
      </w:pPr>
    </w:p>
    <w:p w14:paraId="0E931962">
      <w:pPr>
        <w:rPr>
          <w:color w:val="000000" w:themeColor="text1"/>
          <w:highlight w:val="none"/>
          <w14:textFill>
            <w14:solidFill>
              <w14:schemeClr w14:val="tx1"/>
            </w14:solidFill>
          </w14:textFill>
        </w:rPr>
      </w:pPr>
    </w:p>
    <w:p w14:paraId="15F16638">
      <w:pPr>
        <w:rPr>
          <w:color w:val="000000" w:themeColor="text1"/>
          <w:highlight w:val="none"/>
          <w14:textFill>
            <w14:solidFill>
              <w14:schemeClr w14:val="tx1"/>
            </w14:solidFill>
          </w14:textFill>
        </w:rPr>
      </w:pPr>
    </w:p>
    <w:p w14:paraId="6434CF1D">
      <w:pPr>
        <w:pStyle w:val="3"/>
        <w:rPr>
          <w:color w:val="000000" w:themeColor="text1"/>
          <w:szCs w:val="28"/>
          <w:highlight w:val="none"/>
          <w14:textFill>
            <w14:solidFill>
              <w14:schemeClr w14:val="tx1"/>
            </w14:solidFill>
          </w14:textFill>
        </w:rPr>
      </w:pPr>
      <w:r>
        <w:rPr>
          <w:b w:val="0"/>
          <w:bCs/>
          <w:color w:val="000000" w:themeColor="text1"/>
          <w:kern w:val="28"/>
          <w:sz w:val="44"/>
          <w:szCs w:val="44"/>
          <w:highlight w:val="none"/>
          <w14:textFill>
            <w14:solidFill>
              <w14:schemeClr w14:val="tx1"/>
            </w14:solidFill>
          </w14:textFill>
        </w:rPr>
        <w:t>第三章  投标文件的编制</w:t>
      </w:r>
      <w:r>
        <w:rPr>
          <w:b w:val="0"/>
          <w:bCs/>
          <w:color w:val="000000" w:themeColor="text1"/>
          <w:kern w:val="28"/>
          <w:sz w:val="44"/>
          <w:szCs w:val="44"/>
          <w:highlight w:val="none"/>
          <w14:textFill>
            <w14:solidFill>
              <w14:schemeClr w14:val="tx1"/>
            </w14:solidFill>
          </w14:textFill>
        </w:rPr>
        <w:br w:type="page"/>
      </w:r>
      <w:bookmarkEnd w:id="82"/>
      <w:bookmarkEnd w:id="83"/>
      <w:bookmarkEnd w:id="84"/>
      <w:bookmarkEnd w:id="85"/>
      <w:bookmarkEnd w:id="86"/>
      <w:bookmarkEnd w:id="87"/>
    </w:p>
    <w:p w14:paraId="584B510D">
      <w:pPr>
        <w:rPr>
          <w:color w:val="000000" w:themeColor="text1"/>
          <w:highlight w:val="none"/>
          <w14:textFill>
            <w14:solidFill>
              <w14:schemeClr w14:val="tx1"/>
            </w14:solidFill>
          </w14:textFill>
        </w:rPr>
      </w:pPr>
    </w:p>
    <w:p w14:paraId="6C90EB1F">
      <w:pPr>
        <w:numPr>
          <w:ilvl w:val="0"/>
          <w:numId w:val="11"/>
        </w:numPr>
        <w:rPr>
          <w:rFonts w:ascii="宋体" w:hAnsi="宋体" w:cs="宋体"/>
          <w:color w:val="000000" w:themeColor="text1"/>
          <w:sz w:val="22"/>
          <w:szCs w:val="22"/>
          <w:highlight w:val="none"/>
          <w14:textFill>
            <w14:solidFill>
              <w14:schemeClr w14:val="tx1"/>
            </w14:solidFill>
          </w14:textFill>
        </w:rPr>
      </w:pPr>
      <w:bookmarkStart w:id="88" w:name="_Toc60631634"/>
      <w:bookmarkStart w:id="89" w:name="_Toc73518131"/>
      <w:bookmarkStart w:id="90" w:name="_Toc60560639"/>
      <w:bookmarkStart w:id="91" w:name="_Toc73521649"/>
      <w:bookmarkStart w:id="92" w:name="_Toc73517653"/>
      <w:bookmarkStart w:id="93" w:name="_Toc73521561"/>
      <w:bookmarkStart w:id="94" w:name="_Toc100052378"/>
      <w:r>
        <w:rPr>
          <w:rFonts w:hint="eastAsia" w:ascii="宋体" w:hAnsi="宋体" w:cs="宋体"/>
          <w:color w:val="000000" w:themeColor="text1"/>
          <w:sz w:val="22"/>
          <w:szCs w:val="22"/>
          <w:highlight w:val="none"/>
          <w14:textFill>
            <w14:solidFill>
              <w14:schemeClr w14:val="tx1"/>
            </w14:solidFill>
          </w14:textFill>
        </w:rPr>
        <w:t>投标文件的语言及度量单位</w:t>
      </w:r>
      <w:bookmarkEnd w:id="88"/>
      <w:bookmarkEnd w:id="89"/>
      <w:bookmarkEnd w:id="90"/>
      <w:bookmarkEnd w:id="91"/>
      <w:bookmarkEnd w:id="92"/>
      <w:bookmarkEnd w:id="93"/>
      <w:bookmarkEnd w:id="94"/>
    </w:p>
    <w:p w14:paraId="5FC8B5D0">
      <w:pPr>
        <w:numPr>
          <w:ilvl w:val="1"/>
          <w:numId w:val="12"/>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投标人与政府采购代理机构之间与投标有关的所有往来通知、函件和投标文件均用中文表述。投标人随投标文件提供的证明文件和资料可以为其它语言，但必须附中文译文。翻译的中文资料与外文资料如果出现差异时，以中文为准，但翻译错误的除外。</w:t>
      </w:r>
    </w:p>
    <w:p w14:paraId="43F25DAE">
      <w:pPr>
        <w:numPr>
          <w:ilvl w:val="1"/>
          <w:numId w:val="12"/>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除技术规范另有规定外，投标文件使用的度量单位，均采用中华人民共和国法定计量单位。</w:t>
      </w:r>
    </w:p>
    <w:p w14:paraId="28D46073">
      <w:pPr>
        <w:ind w:left="907"/>
        <w:rPr>
          <w:rFonts w:ascii="宋体" w:hAnsi="宋体" w:cs="宋体"/>
          <w:color w:val="000000" w:themeColor="text1"/>
          <w:sz w:val="22"/>
          <w:szCs w:val="22"/>
          <w:highlight w:val="none"/>
          <w14:textFill>
            <w14:solidFill>
              <w14:schemeClr w14:val="tx1"/>
            </w14:solidFill>
          </w14:textFill>
        </w:rPr>
      </w:pPr>
    </w:p>
    <w:p w14:paraId="6A4CBF89">
      <w:pPr>
        <w:numPr>
          <w:ilvl w:val="0"/>
          <w:numId w:val="11"/>
        </w:numPr>
        <w:rPr>
          <w:rFonts w:ascii="宋体" w:hAnsi="宋体" w:cs="宋体"/>
          <w:color w:val="000000" w:themeColor="text1"/>
          <w:sz w:val="22"/>
          <w:szCs w:val="22"/>
          <w:highlight w:val="none"/>
          <w14:textFill>
            <w14:solidFill>
              <w14:schemeClr w14:val="tx1"/>
            </w14:solidFill>
          </w14:textFill>
        </w:rPr>
      </w:pPr>
      <w:bookmarkStart w:id="95" w:name="_Toc73521562"/>
      <w:bookmarkStart w:id="96" w:name="_Toc60560640"/>
      <w:bookmarkStart w:id="97" w:name="_Toc60631635"/>
      <w:bookmarkStart w:id="98" w:name="_Toc73518132"/>
      <w:bookmarkStart w:id="99" w:name="_Toc73521650"/>
      <w:bookmarkStart w:id="100" w:name="_Toc100052379"/>
      <w:bookmarkStart w:id="101" w:name="_Toc73517654"/>
      <w:r>
        <w:rPr>
          <w:rFonts w:hint="eastAsia" w:ascii="宋体" w:hAnsi="宋体" w:cs="宋体"/>
          <w:color w:val="000000" w:themeColor="text1"/>
          <w:sz w:val="22"/>
          <w:szCs w:val="22"/>
          <w:highlight w:val="none"/>
          <w14:textFill>
            <w14:solidFill>
              <w14:schemeClr w14:val="tx1"/>
            </w14:solidFill>
          </w14:textFill>
        </w:rPr>
        <w:t>投标文件的组成</w:t>
      </w:r>
      <w:bookmarkEnd w:id="95"/>
      <w:bookmarkEnd w:id="96"/>
      <w:bookmarkEnd w:id="97"/>
      <w:bookmarkEnd w:id="98"/>
      <w:bookmarkEnd w:id="99"/>
      <w:bookmarkEnd w:id="100"/>
      <w:bookmarkEnd w:id="101"/>
    </w:p>
    <w:p w14:paraId="5E74E8E8">
      <w:pPr>
        <w:ind w:left="907"/>
        <w:rPr>
          <w:rFonts w:hint="eastAsia" w:ascii="宋体" w:hAnsi="宋体" w:cs="宋体"/>
          <w:color w:val="000000" w:themeColor="text1"/>
          <w:sz w:val="22"/>
          <w:szCs w:val="22"/>
          <w:highlight w:val="none"/>
          <w14:textFill>
            <w14:solidFill>
              <w14:schemeClr w14:val="tx1"/>
            </w14:solidFill>
          </w14:textFill>
        </w:rPr>
      </w:pPr>
      <w:bookmarkStart w:id="102" w:name="投标文件的组成"/>
      <w:bookmarkStart w:id="103" w:name="_Toc60560641"/>
      <w:bookmarkStart w:id="104" w:name="_Toc73521563"/>
      <w:bookmarkStart w:id="105" w:name="_Toc60631636"/>
      <w:bookmarkStart w:id="106" w:name="_Toc73518133"/>
      <w:bookmarkStart w:id="107" w:name="_Toc73521651"/>
      <w:bookmarkStart w:id="108" w:name="_Toc73517655"/>
      <w:r>
        <w:rPr>
          <w:rFonts w:hint="eastAsia" w:ascii="宋体" w:hAnsi="宋体" w:cs="宋体"/>
          <w:color w:val="000000" w:themeColor="text1"/>
          <w:sz w:val="22"/>
          <w:szCs w:val="22"/>
          <w:highlight w:val="none"/>
          <w14:textFill>
            <w14:solidFill>
              <w14:schemeClr w14:val="tx1"/>
            </w14:solidFill>
          </w14:textFill>
        </w:rPr>
        <w:t>一、评标指引表</w:t>
      </w:r>
    </w:p>
    <w:p w14:paraId="1369FD0E">
      <w:pPr>
        <w:ind w:left="907"/>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二、投标函</w:t>
      </w:r>
    </w:p>
    <w:p w14:paraId="1C93C499">
      <w:pPr>
        <w:ind w:left="907"/>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三、政府采购投标及履约承诺函</w:t>
      </w:r>
    </w:p>
    <w:p w14:paraId="51D5E872">
      <w:pPr>
        <w:ind w:left="907"/>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四、诚信承诺函</w:t>
      </w:r>
    </w:p>
    <w:p w14:paraId="5AFE32BB">
      <w:pPr>
        <w:ind w:left="907"/>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五、政府采购违法行为风险知悉确认书</w:t>
      </w:r>
    </w:p>
    <w:p w14:paraId="0829AC66">
      <w:pPr>
        <w:ind w:left="907"/>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六、法定代表人证明书</w:t>
      </w:r>
    </w:p>
    <w:p w14:paraId="023C34D1">
      <w:pPr>
        <w:ind w:left="907"/>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七、法定代表人授权书</w:t>
      </w:r>
    </w:p>
    <w:p w14:paraId="59F70F92">
      <w:pPr>
        <w:ind w:left="907"/>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八、供应商基本情况表</w:t>
      </w:r>
    </w:p>
    <w:p w14:paraId="6952EF6A">
      <w:pPr>
        <w:ind w:left="907"/>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八、招标代理服务费承诺函</w:t>
      </w:r>
    </w:p>
    <w:p w14:paraId="7157BD07">
      <w:pPr>
        <w:ind w:left="907"/>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九、报价清单表</w:t>
      </w:r>
    </w:p>
    <w:p w14:paraId="2B5CA9E2">
      <w:pPr>
        <w:ind w:left="907"/>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十、供应商情况介绍</w:t>
      </w:r>
    </w:p>
    <w:p w14:paraId="02CE3B86">
      <w:pPr>
        <w:ind w:left="907"/>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十一、商务条款偏离表</w:t>
      </w:r>
    </w:p>
    <w:p w14:paraId="1FA64A94">
      <w:pPr>
        <w:ind w:left="907"/>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十二、服务要求偏离表</w:t>
      </w:r>
    </w:p>
    <w:p w14:paraId="65619CC5">
      <w:pPr>
        <w:ind w:left="907"/>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十四、认证情况</w:t>
      </w:r>
    </w:p>
    <w:p w14:paraId="58C46EF9">
      <w:pPr>
        <w:ind w:left="907"/>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十五、同类业绩</w:t>
      </w:r>
    </w:p>
    <w:p w14:paraId="6D4335E1">
      <w:pPr>
        <w:ind w:left="907"/>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十六、履约评价</w:t>
      </w:r>
    </w:p>
    <w:p w14:paraId="203DF9B4">
      <w:pPr>
        <w:ind w:left="907"/>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十七、相关保险</w:t>
      </w:r>
    </w:p>
    <w:p w14:paraId="023877FB">
      <w:pPr>
        <w:ind w:left="907"/>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十八、服务组织方案</w:t>
      </w:r>
    </w:p>
    <w:p w14:paraId="3E2B62FD">
      <w:pPr>
        <w:ind w:left="907"/>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十九、服务质量保证措施</w:t>
      </w:r>
    </w:p>
    <w:p w14:paraId="210FBCC8">
      <w:pPr>
        <w:ind w:left="907"/>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二十、应急方案</w:t>
      </w:r>
    </w:p>
    <w:p w14:paraId="446C51CD">
      <w:pPr>
        <w:ind w:left="907"/>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二十一、卫生管理和保障制度</w:t>
      </w:r>
    </w:p>
    <w:p w14:paraId="4437135C">
      <w:pPr>
        <w:ind w:left="907"/>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二十二、项目负责人（仅1人）</w:t>
      </w:r>
    </w:p>
    <w:p w14:paraId="6C73378C">
      <w:pPr>
        <w:ind w:left="907"/>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二十三、拟派项目团队人员情况（项目负责人除外）-主厨</w:t>
      </w:r>
    </w:p>
    <w:p w14:paraId="27D6F072">
      <w:pPr>
        <w:ind w:left="907"/>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二十四、二十四、拟派项目团队人员情况（项目负责人、主厨除外）-大厨</w:t>
      </w:r>
    </w:p>
    <w:p w14:paraId="275EEB43">
      <w:pPr>
        <w:ind w:left="907"/>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二十五、拟派项目团队人员情况其他团队成员（不含项目负责人、主厨、大厨）</w:t>
      </w:r>
    </w:p>
    <w:p w14:paraId="5BA6D29F">
      <w:pPr>
        <w:ind w:left="907"/>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二十六、项目组织管理承诺</w:t>
      </w:r>
    </w:p>
    <w:p w14:paraId="576D978A">
      <w:pPr>
        <w:ind w:left="907"/>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二十七、中小企业、残疾人福利性单位和监狱企业政策导向</w:t>
      </w:r>
    </w:p>
    <w:p w14:paraId="54F51055">
      <w:pPr>
        <w:ind w:left="907"/>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二十八、招标文件要求的其他内容及投标人认为需要加以说明的其他内容上述文件须按顺序装订成册，并编制投标文件目录。</w:t>
      </w:r>
    </w:p>
    <w:p w14:paraId="7802ED6F">
      <w:pPr>
        <w:ind w:left="907"/>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除上述文件资料外还须按采购文件要求制作“开标文件”。“开标文件”作为投标文件的一部分，但须单独密封。</w:t>
      </w:r>
      <w:bookmarkEnd w:id="102"/>
    </w:p>
    <w:p w14:paraId="69D017D6">
      <w:pPr>
        <w:ind w:left="907"/>
        <w:rPr>
          <w:rFonts w:ascii="宋体" w:hAnsi="宋体" w:cs="宋体"/>
          <w:color w:val="000000" w:themeColor="text1"/>
          <w:sz w:val="22"/>
          <w:szCs w:val="22"/>
          <w:highlight w:val="none"/>
          <w14:textFill>
            <w14:solidFill>
              <w14:schemeClr w14:val="tx1"/>
            </w14:solidFill>
          </w14:textFill>
        </w:rPr>
      </w:pPr>
    </w:p>
    <w:p w14:paraId="7C0DEBDF">
      <w:pPr>
        <w:numPr>
          <w:ilvl w:val="0"/>
          <w:numId w:val="11"/>
        </w:numPr>
        <w:rPr>
          <w:rFonts w:ascii="宋体" w:hAnsi="宋体" w:cs="宋体"/>
          <w:color w:val="000000" w:themeColor="text1"/>
          <w:sz w:val="22"/>
          <w:szCs w:val="22"/>
          <w:highlight w:val="none"/>
          <w14:textFill>
            <w14:solidFill>
              <w14:schemeClr w14:val="tx1"/>
            </w14:solidFill>
          </w14:textFill>
        </w:rPr>
      </w:pPr>
      <w:bookmarkStart w:id="109" w:name="_Toc100052380"/>
      <w:r>
        <w:rPr>
          <w:rFonts w:hint="eastAsia" w:ascii="宋体" w:hAnsi="宋体" w:cs="宋体"/>
          <w:color w:val="000000" w:themeColor="text1"/>
          <w:sz w:val="22"/>
          <w:szCs w:val="22"/>
          <w:highlight w:val="none"/>
          <w14:textFill>
            <w14:solidFill>
              <w14:schemeClr w14:val="tx1"/>
            </w14:solidFill>
          </w14:textFill>
        </w:rPr>
        <w:t>投标文件格式</w:t>
      </w:r>
      <w:bookmarkEnd w:id="103"/>
      <w:bookmarkEnd w:id="104"/>
      <w:bookmarkEnd w:id="105"/>
      <w:bookmarkEnd w:id="106"/>
      <w:bookmarkEnd w:id="107"/>
      <w:bookmarkEnd w:id="108"/>
      <w:bookmarkEnd w:id="109"/>
    </w:p>
    <w:p w14:paraId="20CE03A4">
      <w:pPr>
        <w:numPr>
          <w:ilvl w:val="1"/>
          <w:numId w:val="12"/>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投标文件包括本通用条款第15条中规定的内容。如采购文件提供了投标文件格式，则投标人提交的投标文件应毫无例外地使用采购文件所提供的相应格式（表格可以按同样格式扩展）。</w:t>
      </w:r>
      <w:bookmarkStart w:id="110" w:name="_Toc60560643"/>
      <w:bookmarkStart w:id="111" w:name="_Toc73521565"/>
      <w:bookmarkStart w:id="112" w:name="_Toc73517657"/>
      <w:bookmarkStart w:id="113" w:name="_Toc60631638"/>
      <w:bookmarkStart w:id="114" w:name="_Toc73521653"/>
      <w:bookmarkStart w:id="115" w:name="_Toc73518135"/>
    </w:p>
    <w:p w14:paraId="62ED3544">
      <w:pPr>
        <w:ind w:left="907"/>
        <w:rPr>
          <w:rFonts w:ascii="宋体" w:hAnsi="宋体" w:cs="宋体"/>
          <w:color w:val="000000" w:themeColor="text1"/>
          <w:sz w:val="22"/>
          <w:szCs w:val="22"/>
          <w:highlight w:val="none"/>
          <w14:textFill>
            <w14:solidFill>
              <w14:schemeClr w14:val="tx1"/>
            </w14:solidFill>
          </w14:textFill>
        </w:rPr>
      </w:pPr>
    </w:p>
    <w:p w14:paraId="793149B1">
      <w:pPr>
        <w:numPr>
          <w:ilvl w:val="0"/>
          <w:numId w:val="11"/>
        </w:numPr>
        <w:rPr>
          <w:rFonts w:ascii="宋体" w:hAnsi="宋体" w:cs="宋体"/>
          <w:color w:val="000000" w:themeColor="text1"/>
          <w:sz w:val="22"/>
          <w:szCs w:val="22"/>
          <w:highlight w:val="none"/>
          <w14:textFill>
            <w14:solidFill>
              <w14:schemeClr w14:val="tx1"/>
            </w14:solidFill>
          </w14:textFill>
        </w:rPr>
      </w:pPr>
      <w:bookmarkStart w:id="116" w:name="_Toc100052382"/>
      <w:r>
        <w:rPr>
          <w:rFonts w:hint="eastAsia" w:ascii="宋体" w:hAnsi="宋体" w:cs="宋体"/>
          <w:color w:val="000000" w:themeColor="text1"/>
          <w:sz w:val="22"/>
          <w:szCs w:val="22"/>
          <w:highlight w:val="none"/>
          <w14:textFill>
            <w14:solidFill>
              <w14:schemeClr w14:val="tx1"/>
            </w14:solidFill>
          </w14:textFill>
        </w:rPr>
        <w:t>投标货币</w:t>
      </w:r>
      <w:bookmarkEnd w:id="110"/>
      <w:bookmarkEnd w:id="111"/>
      <w:bookmarkEnd w:id="112"/>
      <w:bookmarkEnd w:id="113"/>
      <w:bookmarkEnd w:id="114"/>
      <w:bookmarkEnd w:id="115"/>
      <w:bookmarkEnd w:id="116"/>
    </w:p>
    <w:p w14:paraId="10761977">
      <w:pPr>
        <w:numPr>
          <w:ilvl w:val="1"/>
          <w:numId w:val="12"/>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本项目的投标应以人民币计。</w:t>
      </w:r>
    </w:p>
    <w:p w14:paraId="55AB561D">
      <w:pPr>
        <w:ind w:left="907"/>
        <w:rPr>
          <w:rFonts w:ascii="宋体" w:hAnsi="宋体" w:cs="宋体"/>
          <w:color w:val="000000" w:themeColor="text1"/>
          <w:sz w:val="22"/>
          <w:szCs w:val="22"/>
          <w:highlight w:val="none"/>
          <w14:textFill>
            <w14:solidFill>
              <w14:schemeClr w14:val="tx1"/>
            </w14:solidFill>
          </w14:textFill>
        </w:rPr>
      </w:pPr>
    </w:p>
    <w:p w14:paraId="602BD177">
      <w:pPr>
        <w:numPr>
          <w:ilvl w:val="0"/>
          <w:numId w:val="11"/>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证明投标文件投标技术方案的合格性和符合采购文件规定的文件要求</w:t>
      </w:r>
    </w:p>
    <w:p w14:paraId="0C7E5EC2">
      <w:pPr>
        <w:numPr>
          <w:ilvl w:val="1"/>
          <w:numId w:val="12"/>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投标人应提交证明文件证明其投标技术方案项下的货物、工程和服务的合格性符合采购文件规定。该投标技术方案及其证明文件作为投标文件的一部分。</w:t>
      </w:r>
    </w:p>
    <w:p w14:paraId="7B6DDB81">
      <w:pPr>
        <w:numPr>
          <w:ilvl w:val="1"/>
          <w:numId w:val="12"/>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投标人提供证明投标技术方案与采购文件的要求相一致的文件，可以是文字资料、图纸、数据或数码照片、制造商公布的产品说明书、产品彩页和我国政府机构出具的产品检验和核准证件等，以证明投标人响应的真实性。它包括并应符合以下要求：</w:t>
      </w:r>
    </w:p>
    <w:p w14:paraId="031295C3">
      <w:pPr>
        <w:numPr>
          <w:ilvl w:val="2"/>
          <w:numId w:val="15"/>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主要技术指标和性能的详细说明。</w:t>
      </w:r>
    </w:p>
    <w:p w14:paraId="7F44DFB0">
      <w:pPr>
        <w:numPr>
          <w:ilvl w:val="2"/>
          <w:numId w:val="15"/>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投标产品从采购单位开始使用至采购文件中规定的周期内正常、连续地使用所必须的备件和专用工具清单，包括备件和专用工具的货源及现行价格。</w:t>
      </w:r>
    </w:p>
    <w:p w14:paraId="6E36EFE9">
      <w:pPr>
        <w:numPr>
          <w:ilvl w:val="2"/>
          <w:numId w:val="15"/>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对照采购文件技术规格，逐条说明投标技术方案已对采购单位的技术规格做出了实质性的响应，或申明与技术规格条文的偏差和例外。投标人应详细说明投标技术方案中产品的具体参数，不得以谋取中标为目的的照搬照抄采购文件的技术要求。</w:t>
      </w:r>
    </w:p>
    <w:p w14:paraId="41D96ADC">
      <w:pPr>
        <w:numPr>
          <w:ilvl w:val="2"/>
          <w:numId w:val="15"/>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产品说明书或彩页应为制造商公布或出具的中文产品说明书或彩页；提供外文说明书或彩页的，必须同时提供加盖制造商公章的对应中文翻译说明，评标依据以中文翻译内容为准，外文说明书或彩页仅供参考；产品说明书或彩页的尺寸和清晰度应该能够在电脑上被阅读、识别和判断，提供原件扫描件；</w:t>
      </w:r>
    </w:p>
    <w:p w14:paraId="2A43AE88">
      <w:pPr>
        <w:numPr>
          <w:ilvl w:val="2"/>
          <w:numId w:val="15"/>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我国政府机构出具的产品检验和核准证件应为证件正面、背面和附件标注的全部具体内容；产品检验和核准证件的尺寸和清晰度应该能够在电脑上被阅读、识别和判断，提供原件扫描件。</w:t>
      </w:r>
    </w:p>
    <w:p w14:paraId="255ED876">
      <w:pPr>
        <w:numPr>
          <w:ilvl w:val="1"/>
          <w:numId w:val="12"/>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相关资料不符合18.2款要求的，评审委员会有权认定为投标技术方案不合格响应，其相关分数予以扣减或作废标处理。</w:t>
      </w:r>
    </w:p>
    <w:p w14:paraId="4BD06683">
      <w:pPr>
        <w:numPr>
          <w:ilvl w:val="1"/>
          <w:numId w:val="12"/>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评审委员会有权对以谋取中标为目的的技术规格模糊响应（如有意照搬照抄采购文件的技术要求）或虚假响应予以认定。供应商上述行为一经发现或查实，除扣分或废标外，还可能被一并处以没收投标</w:t>
      </w:r>
      <w:r>
        <w:rPr>
          <w:rFonts w:hint="default" w:ascii="宋体" w:hAnsi="宋体" w:cs="宋体"/>
          <w:color w:val="000000" w:themeColor="text1"/>
          <w:sz w:val="22"/>
          <w:szCs w:val="22"/>
          <w:highlight w:val="none"/>
          <w14:textFill>
            <w14:solidFill>
              <w14:schemeClr w14:val="tx1"/>
            </w14:solidFill>
          </w14:textFill>
        </w:rPr>
        <w:t>保函</w:t>
      </w:r>
      <w:r>
        <w:rPr>
          <w:rFonts w:hint="eastAsia" w:ascii="宋体" w:hAnsi="宋体" w:cs="宋体"/>
          <w:color w:val="000000" w:themeColor="text1"/>
          <w:sz w:val="22"/>
          <w:szCs w:val="22"/>
          <w:highlight w:val="none"/>
          <w14:textFill>
            <w14:solidFill>
              <w14:schemeClr w14:val="tx1"/>
            </w14:solidFill>
          </w14:textFill>
        </w:rPr>
        <w:t>的处罚，政府采购代理机构可视情况报政府采购监督管理部门做进一步处理。</w:t>
      </w:r>
    </w:p>
    <w:p w14:paraId="643F1BAF">
      <w:pPr>
        <w:numPr>
          <w:ilvl w:val="1"/>
          <w:numId w:val="12"/>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投标人在阐述上述第18.2时应注意采购单位在技术规格中指出的工艺、材料和设备的标准以及参照的牌号或分类号仅起说明作用，并没有任何限制性。投标人在投标中可以选用替代标准、牌号或分类号，但这些替代要实质上满足采购文件中技术规格的要求，是否满足要求，由评审委员会来评判。</w:t>
      </w:r>
    </w:p>
    <w:p w14:paraId="2EC43EF5">
      <w:pPr>
        <w:numPr>
          <w:ilvl w:val="1"/>
          <w:numId w:val="12"/>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为保证公平公正，除非另有规定或说明，投标人对同一货物或服务投标时，不得同时提供两套或两套以上的投标方案。</w:t>
      </w:r>
    </w:p>
    <w:p w14:paraId="1010D98A">
      <w:pPr>
        <w:ind w:left="907"/>
        <w:rPr>
          <w:rFonts w:ascii="宋体" w:hAnsi="宋体" w:cs="宋体"/>
          <w:color w:val="000000" w:themeColor="text1"/>
          <w:sz w:val="22"/>
          <w:szCs w:val="22"/>
          <w:highlight w:val="none"/>
          <w14:textFill>
            <w14:solidFill>
              <w14:schemeClr w14:val="tx1"/>
            </w14:solidFill>
          </w14:textFill>
        </w:rPr>
      </w:pPr>
    </w:p>
    <w:p w14:paraId="29166E10">
      <w:pPr>
        <w:numPr>
          <w:ilvl w:val="0"/>
          <w:numId w:val="11"/>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投标文件其他证明文件的要求</w:t>
      </w:r>
    </w:p>
    <w:p w14:paraId="15465943">
      <w:pPr>
        <w:numPr>
          <w:ilvl w:val="1"/>
          <w:numId w:val="12"/>
        </w:numPr>
        <w:rPr>
          <w:rFonts w:ascii="宋体" w:hAnsi="宋体" w:cs="宋体"/>
          <w:color w:val="000000" w:themeColor="text1"/>
          <w:sz w:val="22"/>
          <w:szCs w:val="22"/>
          <w:highlight w:val="none"/>
          <w14:textFill>
            <w14:solidFill>
              <w14:schemeClr w14:val="tx1"/>
            </w14:solidFill>
          </w14:textFill>
        </w:rPr>
      </w:pPr>
      <w:bookmarkStart w:id="117" w:name="_Toc73521566"/>
      <w:bookmarkStart w:id="118" w:name="_Toc73517658"/>
      <w:bookmarkStart w:id="119" w:name="_Toc60560644"/>
      <w:bookmarkStart w:id="120" w:name="_Toc100052383"/>
      <w:bookmarkStart w:id="121" w:name="_Toc73521654"/>
      <w:bookmarkStart w:id="122" w:name="_Toc73518136"/>
      <w:bookmarkStart w:id="123" w:name="_Toc60631639"/>
      <w:r>
        <w:rPr>
          <w:rFonts w:hint="eastAsia" w:ascii="宋体" w:hAnsi="宋体" w:cs="宋体"/>
          <w:color w:val="000000" w:themeColor="text1"/>
          <w:sz w:val="22"/>
          <w:szCs w:val="22"/>
          <w:highlight w:val="none"/>
          <w14:textFill>
            <w14:solidFill>
              <w14:schemeClr w14:val="tx1"/>
            </w14:solidFill>
          </w14:textFill>
        </w:rPr>
        <w:t>对项目采购文件《评标信息》评分项中涉及的相关业绩、社保情况、纳税情况、银行资信等级和资金流状况等内容以及《投标文件初审表》中涉及的资格证书，投标人应提供相关部门出具的证明材料扫描件或照片（原件或复印件均可），原件备查。有关扫描件（或照片）的尺寸和清晰度应该能够在电脑上被阅读、识别和判断。若投标人未按要求提供证明材料或提供的是部分证明材料或提供不清晰的扫描件（或照片）的，评审委员会有权认定其投标文件未对采购文件有关需求进行响应，涉及资格性检查或符合性检查的予以废标处理，涉及《评标信息》打分项的则该项评分予以0分处理。</w:t>
      </w:r>
    </w:p>
    <w:p w14:paraId="76EFCF58">
      <w:pPr>
        <w:numPr>
          <w:ilvl w:val="1"/>
          <w:numId w:val="12"/>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本项目涉及提供的有关资质证书，若原有资质证书处于年审期间，须提供证书颁发部门提供的回执，并且回执须证明该证书依然有效，则该投标人提供年审证明的可按原资质投标；若投标人正在申报上一级别资质，在未获批准之前，仍按原级别资质投标。</w:t>
      </w:r>
    </w:p>
    <w:p w14:paraId="7172EAD1">
      <w:pPr>
        <w:ind w:left="907"/>
        <w:rPr>
          <w:rFonts w:ascii="宋体" w:hAnsi="宋体" w:cs="宋体"/>
          <w:color w:val="000000" w:themeColor="text1"/>
          <w:sz w:val="22"/>
          <w:szCs w:val="22"/>
          <w:highlight w:val="none"/>
          <w14:textFill>
            <w14:solidFill>
              <w14:schemeClr w14:val="tx1"/>
            </w14:solidFill>
          </w14:textFill>
        </w:rPr>
      </w:pPr>
    </w:p>
    <w:p w14:paraId="277F4CE7">
      <w:pPr>
        <w:numPr>
          <w:ilvl w:val="0"/>
          <w:numId w:val="11"/>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投标有效期</w:t>
      </w:r>
      <w:bookmarkEnd w:id="117"/>
      <w:bookmarkEnd w:id="118"/>
      <w:bookmarkEnd w:id="119"/>
      <w:bookmarkEnd w:id="120"/>
      <w:bookmarkEnd w:id="121"/>
      <w:bookmarkEnd w:id="122"/>
      <w:bookmarkEnd w:id="123"/>
    </w:p>
    <w:p w14:paraId="2E94FD41">
      <w:pPr>
        <w:numPr>
          <w:ilvl w:val="1"/>
          <w:numId w:val="12"/>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投标有效期为从投标截止之日算起的日历天数，具体见专用条款中投标有效期的天数要求。在此期限内，所有投标文件均保持有效；</w:t>
      </w:r>
    </w:p>
    <w:p w14:paraId="0F29AD4E">
      <w:pPr>
        <w:numPr>
          <w:ilvl w:val="1"/>
          <w:numId w:val="12"/>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在特殊的情况下，政府采购代理机构在原定的投标有效期满之前，政府采购代理机构可以根据需要以书面形式（包括网站公开发布方式）向投标人提出延长投标有效期的要求，对此要求投标人须以书面形式予以答复，投标人可以拒绝政府采购代理机构此项要求，而不被没收投标</w:t>
      </w:r>
      <w:r>
        <w:rPr>
          <w:rFonts w:hint="default" w:ascii="宋体" w:hAnsi="宋体" w:cs="宋体"/>
          <w:color w:val="000000" w:themeColor="text1"/>
          <w:sz w:val="22"/>
          <w:szCs w:val="22"/>
          <w:highlight w:val="none"/>
          <w14:textFill>
            <w14:solidFill>
              <w14:schemeClr w14:val="tx1"/>
            </w14:solidFill>
          </w14:textFill>
        </w:rPr>
        <w:t>保函</w:t>
      </w:r>
      <w:r>
        <w:rPr>
          <w:rFonts w:hint="eastAsia" w:ascii="宋体" w:hAnsi="宋体" w:cs="宋体"/>
          <w:color w:val="000000" w:themeColor="text1"/>
          <w:sz w:val="22"/>
          <w:szCs w:val="22"/>
          <w:highlight w:val="none"/>
          <w14:textFill>
            <w14:solidFill>
              <w14:schemeClr w14:val="tx1"/>
            </w14:solidFill>
          </w14:textFill>
        </w:rPr>
        <w:t>，其投标在原投标有效期满后不再有效。同意延长投标有效期的投标人不能要求也不允许修改其投标文件，但应当相应的延长投标担保的有效期，在延长的投标有效期内本通用条款第21条关于投标</w:t>
      </w:r>
      <w:r>
        <w:rPr>
          <w:rFonts w:hint="default" w:ascii="宋体" w:hAnsi="宋体" w:cs="宋体"/>
          <w:color w:val="000000" w:themeColor="text1"/>
          <w:sz w:val="22"/>
          <w:szCs w:val="22"/>
          <w:highlight w:val="none"/>
          <w14:textFill>
            <w14:solidFill>
              <w14:schemeClr w14:val="tx1"/>
            </w14:solidFill>
          </w14:textFill>
        </w:rPr>
        <w:t>保函</w:t>
      </w:r>
      <w:r>
        <w:rPr>
          <w:rFonts w:hint="eastAsia" w:ascii="宋体" w:hAnsi="宋体" w:cs="宋体"/>
          <w:color w:val="000000" w:themeColor="text1"/>
          <w:sz w:val="22"/>
          <w:szCs w:val="22"/>
          <w:highlight w:val="none"/>
          <w14:textFill>
            <w14:solidFill>
              <w14:schemeClr w14:val="tx1"/>
            </w14:solidFill>
          </w14:textFill>
        </w:rPr>
        <w:t>的退还与没收的规定仍然适用；</w:t>
      </w:r>
    </w:p>
    <w:p w14:paraId="1853EE05">
      <w:pPr>
        <w:numPr>
          <w:ilvl w:val="1"/>
          <w:numId w:val="12"/>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中标单位的投标书有效期，截止于完成本采购文件规定的全部项目内容，并通过竣工验收及保修结束。</w:t>
      </w:r>
    </w:p>
    <w:p w14:paraId="62B74DF5">
      <w:pPr>
        <w:ind w:left="907"/>
        <w:rPr>
          <w:rFonts w:ascii="宋体" w:hAnsi="宋体" w:cs="宋体"/>
          <w:color w:val="000000" w:themeColor="text1"/>
          <w:sz w:val="22"/>
          <w:szCs w:val="22"/>
          <w:highlight w:val="none"/>
          <w14:textFill>
            <w14:solidFill>
              <w14:schemeClr w14:val="tx1"/>
            </w14:solidFill>
          </w14:textFill>
        </w:rPr>
      </w:pPr>
    </w:p>
    <w:p w14:paraId="599E07D0">
      <w:pPr>
        <w:numPr>
          <w:ilvl w:val="0"/>
          <w:numId w:val="11"/>
        </w:numPr>
        <w:rPr>
          <w:rFonts w:ascii="宋体" w:hAnsi="宋体" w:cs="宋体"/>
          <w:color w:val="000000" w:themeColor="text1"/>
          <w:sz w:val="22"/>
          <w:szCs w:val="22"/>
          <w:highlight w:val="none"/>
          <w14:textFill>
            <w14:solidFill>
              <w14:schemeClr w14:val="tx1"/>
            </w14:solidFill>
          </w14:textFill>
        </w:rPr>
      </w:pPr>
      <w:bookmarkStart w:id="124" w:name="_Toc60631640"/>
      <w:bookmarkStart w:id="125" w:name="_Toc60560645"/>
      <w:bookmarkStart w:id="126" w:name="_Toc73517659"/>
      <w:bookmarkStart w:id="127" w:name="_Toc73521567"/>
      <w:bookmarkStart w:id="128" w:name="_Toc73521655"/>
      <w:bookmarkStart w:id="129" w:name="_Toc73518137"/>
      <w:bookmarkStart w:id="130" w:name="_Toc100052384"/>
      <w:r>
        <w:rPr>
          <w:rFonts w:hint="eastAsia" w:ascii="宋体" w:hAnsi="宋体" w:cs="宋体"/>
          <w:color w:val="000000" w:themeColor="text1"/>
          <w:sz w:val="22"/>
          <w:szCs w:val="22"/>
          <w:highlight w:val="none"/>
          <w14:textFill>
            <w14:solidFill>
              <w14:schemeClr w14:val="tx1"/>
            </w14:solidFill>
          </w14:textFill>
        </w:rPr>
        <w:t>投标</w:t>
      </w:r>
      <w:bookmarkEnd w:id="124"/>
      <w:bookmarkEnd w:id="125"/>
      <w:bookmarkEnd w:id="126"/>
      <w:bookmarkEnd w:id="127"/>
      <w:bookmarkEnd w:id="128"/>
      <w:bookmarkEnd w:id="129"/>
      <w:bookmarkEnd w:id="130"/>
      <w:r>
        <w:rPr>
          <w:rFonts w:hint="default" w:ascii="宋体" w:hAnsi="宋体" w:cs="宋体"/>
          <w:color w:val="000000" w:themeColor="text1"/>
          <w:sz w:val="22"/>
          <w:szCs w:val="22"/>
          <w:highlight w:val="none"/>
          <w14:textFill>
            <w14:solidFill>
              <w14:schemeClr w14:val="tx1"/>
            </w14:solidFill>
          </w14:textFill>
        </w:rPr>
        <w:t>保函</w:t>
      </w:r>
    </w:p>
    <w:p w14:paraId="2C1418A7">
      <w:pPr>
        <w:numPr>
          <w:ilvl w:val="1"/>
          <w:numId w:val="12"/>
        </w:numPr>
        <w:rPr>
          <w:rFonts w:ascii="宋体" w:hAnsi="宋体" w:cs="宋体"/>
          <w:color w:val="000000" w:themeColor="text1"/>
          <w:sz w:val="22"/>
          <w:szCs w:val="22"/>
          <w:highlight w:val="none"/>
          <w14:textFill>
            <w14:solidFill>
              <w14:schemeClr w14:val="tx1"/>
            </w14:solidFill>
          </w14:textFill>
        </w:rPr>
      </w:pPr>
      <w:bookmarkStart w:id="131" w:name="_Toc73521568"/>
      <w:bookmarkStart w:id="132" w:name="_Toc100052385"/>
      <w:bookmarkStart w:id="133" w:name="_Toc60560646"/>
      <w:bookmarkStart w:id="134" w:name="_Toc73518138"/>
      <w:bookmarkStart w:id="135" w:name="_Toc73517660"/>
      <w:bookmarkStart w:id="136" w:name="_Toc60631641"/>
      <w:bookmarkStart w:id="137" w:name="_Toc73521656"/>
      <w:r>
        <w:rPr>
          <w:rFonts w:hint="eastAsia" w:ascii="宋体" w:hAnsi="宋体" w:cs="宋体"/>
          <w:color w:val="000000" w:themeColor="text1"/>
          <w:sz w:val="22"/>
          <w:szCs w:val="22"/>
          <w:highlight w:val="none"/>
          <w14:textFill>
            <w14:solidFill>
              <w14:schemeClr w14:val="tx1"/>
            </w14:solidFill>
          </w14:textFill>
        </w:rPr>
        <w:t>投标</w:t>
      </w:r>
      <w:r>
        <w:rPr>
          <w:rFonts w:hint="default" w:ascii="宋体" w:hAnsi="宋体" w:cs="宋体"/>
          <w:color w:val="000000" w:themeColor="text1"/>
          <w:sz w:val="22"/>
          <w:szCs w:val="22"/>
          <w:highlight w:val="none"/>
          <w14:textFill>
            <w14:solidFill>
              <w14:schemeClr w14:val="tx1"/>
            </w14:solidFill>
          </w14:textFill>
        </w:rPr>
        <w:t>保函</w:t>
      </w:r>
      <w:r>
        <w:rPr>
          <w:rFonts w:hint="eastAsia" w:ascii="宋体" w:hAnsi="宋体" w:cs="宋体"/>
          <w:color w:val="000000" w:themeColor="text1"/>
          <w:sz w:val="22"/>
          <w:szCs w:val="22"/>
          <w:highlight w:val="none"/>
          <w14:textFill>
            <w14:solidFill>
              <w14:schemeClr w14:val="tx1"/>
            </w14:solidFill>
          </w14:textFill>
        </w:rPr>
        <w:t>的缴纳：</w:t>
      </w:r>
    </w:p>
    <w:p w14:paraId="36DFDF04">
      <w:pPr>
        <w:numPr>
          <w:ilvl w:val="2"/>
          <w:numId w:val="15"/>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投标</w:t>
      </w:r>
      <w:r>
        <w:rPr>
          <w:rFonts w:hint="default" w:ascii="宋体" w:hAnsi="宋体" w:cs="宋体"/>
          <w:color w:val="000000" w:themeColor="text1"/>
          <w:sz w:val="22"/>
          <w:szCs w:val="22"/>
          <w:highlight w:val="none"/>
          <w14:textFill>
            <w14:solidFill>
              <w14:schemeClr w14:val="tx1"/>
            </w14:solidFill>
          </w14:textFill>
        </w:rPr>
        <w:t>保函</w:t>
      </w:r>
      <w:r>
        <w:rPr>
          <w:rFonts w:hint="eastAsia" w:ascii="宋体" w:hAnsi="宋体" w:cs="宋体"/>
          <w:color w:val="000000" w:themeColor="text1"/>
          <w:sz w:val="22"/>
          <w:szCs w:val="22"/>
          <w:highlight w:val="none"/>
          <w14:textFill>
            <w14:solidFill>
              <w14:schemeClr w14:val="tx1"/>
            </w14:solidFill>
          </w14:textFill>
        </w:rPr>
        <w:t>应当采用非现金形式交纳。</w:t>
      </w:r>
    </w:p>
    <w:p w14:paraId="4C423E58">
      <w:pPr>
        <w:numPr>
          <w:ilvl w:val="2"/>
          <w:numId w:val="15"/>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若为重大项目，政府采购代理机构可自行决定另外收取投标</w:t>
      </w:r>
      <w:r>
        <w:rPr>
          <w:rFonts w:hint="default" w:ascii="宋体" w:hAnsi="宋体" w:cs="宋体"/>
          <w:color w:val="000000" w:themeColor="text1"/>
          <w:sz w:val="22"/>
          <w:szCs w:val="22"/>
          <w:highlight w:val="none"/>
          <w14:textFill>
            <w14:solidFill>
              <w14:schemeClr w14:val="tx1"/>
            </w14:solidFill>
          </w14:textFill>
        </w:rPr>
        <w:t>保函</w:t>
      </w:r>
      <w:r>
        <w:rPr>
          <w:rFonts w:hint="eastAsia" w:ascii="宋体" w:hAnsi="宋体" w:cs="宋体"/>
          <w:color w:val="000000" w:themeColor="text1"/>
          <w:sz w:val="22"/>
          <w:szCs w:val="22"/>
          <w:highlight w:val="none"/>
          <w14:textFill>
            <w14:solidFill>
              <w14:schemeClr w14:val="tx1"/>
            </w14:solidFill>
          </w14:textFill>
        </w:rPr>
        <w:t>，不受21.1.1款限制。是否另外收取投标</w:t>
      </w:r>
      <w:r>
        <w:rPr>
          <w:rFonts w:hint="default" w:ascii="宋体" w:hAnsi="宋体" w:cs="宋体"/>
          <w:color w:val="000000" w:themeColor="text1"/>
          <w:sz w:val="22"/>
          <w:szCs w:val="22"/>
          <w:highlight w:val="none"/>
          <w14:textFill>
            <w14:solidFill>
              <w14:schemeClr w14:val="tx1"/>
            </w14:solidFill>
          </w14:textFill>
        </w:rPr>
        <w:t>保函</w:t>
      </w:r>
      <w:r>
        <w:rPr>
          <w:rFonts w:hint="eastAsia" w:ascii="宋体" w:hAnsi="宋体" w:cs="宋体"/>
          <w:color w:val="000000" w:themeColor="text1"/>
          <w:sz w:val="22"/>
          <w:szCs w:val="22"/>
          <w:highlight w:val="none"/>
          <w14:textFill>
            <w14:solidFill>
              <w14:schemeClr w14:val="tx1"/>
            </w14:solidFill>
          </w14:textFill>
        </w:rPr>
        <w:t>，请见本采购文件专用条款《对通用条款的补充内容》中的相关要求。</w:t>
      </w:r>
    </w:p>
    <w:p w14:paraId="10414857">
      <w:pPr>
        <w:numPr>
          <w:ilvl w:val="1"/>
          <w:numId w:val="12"/>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投标</w:t>
      </w:r>
      <w:r>
        <w:rPr>
          <w:rFonts w:hint="default" w:ascii="宋体" w:hAnsi="宋体" w:cs="宋体"/>
          <w:color w:val="000000" w:themeColor="text1"/>
          <w:sz w:val="22"/>
          <w:szCs w:val="22"/>
          <w:highlight w:val="none"/>
          <w14:textFill>
            <w14:solidFill>
              <w14:schemeClr w14:val="tx1"/>
            </w14:solidFill>
          </w14:textFill>
        </w:rPr>
        <w:t>保函</w:t>
      </w:r>
      <w:r>
        <w:rPr>
          <w:rFonts w:hint="eastAsia" w:ascii="宋体" w:hAnsi="宋体" w:cs="宋体"/>
          <w:color w:val="000000" w:themeColor="text1"/>
          <w:sz w:val="22"/>
          <w:szCs w:val="22"/>
          <w:highlight w:val="none"/>
          <w14:textFill>
            <w14:solidFill>
              <w14:schemeClr w14:val="tx1"/>
            </w14:solidFill>
          </w14:textFill>
        </w:rPr>
        <w:t>是为了保护政府采购代理机构和采购单位免因投标人的行为而蒙受损失。政府采购代理机构和采购单位因投标人的行为受到损害时可根据本通用条款第21.5款的规定没收投标人的投标</w:t>
      </w:r>
      <w:r>
        <w:rPr>
          <w:rFonts w:hint="default" w:ascii="宋体" w:hAnsi="宋体" w:cs="宋体"/>
          <w:color w:val="000000" w:themeColor="text1"/>
          <w:sz w:val="22"/>
          <w:szCs w:val="22"/>
          <w:highlight w:val="none"/>
          <w14:textFill>
            <w14:solidFill>
              <w14:schemeClr w14:val="tx1"/>
            </w14:solidFill>
          </w14:textFill>
        </w:rPr>
        <w:t>保函</w:t>
      </w:r>
      <w:r>
        <w:rPr>
          <w:rFonts w:hint="eastAsia" w:ascii="宋体" w:hAnsi="宋体" w:cs="宋体"/>
          <w:color w:val="000000" w:themeColor="text1"/>
          <w:sz w:val="22"/>
          <w:szCs w:val="22"/>
          <w:highlight w:val="none"/>
          <w14:textFill>
            <w14:solidFill>
              <w14:schemeClr w14:val="tx1"/>
            </w14:solidFill>
          </w14:textFill>
        </w:rPr>
        <w:t>。</w:t>
      </w:r>
    </w:p>
    <w:p w14:paraId="2BACD533">
      <w:pPr>
        <w:numPr>
          <w:ilvl w:val="1"/>
          <w:numId w:val="12"/>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未中标的投标人的投标</w:t>
      </w:r>
      <w:r>
        <w:rPr>
          <w:rFonts w:hint="default" w:ascii="宋体" w:hAnsi="宋体" w:cs="宋体"/>
          <w:color w:val="000000" w:themeColor="text1"/>
          <w:sz w:val="22"/>
          <w:szCs w:val="22"/>
          <w:highlight w:val="none"/>
          <w14:textFill>
            <w14:solidFill>
              <w14:schemeClr w14:val="tx1"/>
            </w14:solidFill>
          </w14:textFill>
        </w:rPr>
        <w:t>保函</w:t>
      </w:r>
      <w:r>
        <w:rPr>
          <w:rFonts w:hint="eastAsia" w:ascii="宋体" w:hAnsi="宋体" w:cs="宋体"/>
          <w:color w:val="000000" w:themeColor="text1"/>
          <w:sz w:val="22"/>
          <w:szCs w:val="22"/>
          <w:highlight w:val="none"/>
          <w14:textFill>
            <w14:solidFill>
              <w14:schemeClr w14:val="tx1"/>
            </w14:solidFill>
          </w14:textFill>
        </w:rPr>
        <w:t>，将于中标结果公告后五个工作日内无息退还投标人。</w:t>
      </w:r>
    </w:p>
    <w:p w14:paraId="4CC7A49F">
      <w:pPr>
        <w:numPr>
          <w:ilvl w:val="1"/>
          <w:numId w:val="12"/>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中标人的投标</w:t>
      </w:r>
      <w:r>
        <w:rPr>
          <w:rFonts w:hint="default" w:ascii="宋体" w:hAnsi="宋体" w:cs="宋体"/>
          <w:color w:val="000000" w:themeColor="text1"/>
          <w:sz w:val="22"/>
          <w:szCs w:val="22"/>
          <w:highlight w:val="none"/>
          <w14:textFill>
            <w14:solidFill>
              <w14:schemeClr w14:val="tx1"/>
            </w14:solidFill>
          </w14:textFill>
        </w:rPr>
        <w:t>保函</w:t>
      </w:r>
      <w:r>
        <w:rPr>
          <w:rFonts w:hint="eastAsia" w:ascii="宋体" w:hAnsi="宋体" w:cs="宋体"/>
          <w:color w:val="000000" w:themeColor="text1"/>
          <w:sz w:val="22"/>
          <w:szCs w:val="22"/>
          <w:highlight w:val="none"/>
          <w14:textFill>
            <w14:solidFill>
              <w14:schemeClr w14:val="tx1"/>
            </w14:solidFill>
          </w14:textFill>
        </w:rPr>
        <w:t>，在与采购人签订了合同，提交了履约</w:t>
      </w:r>
      <w:r>
        <w:rPr>
          <w:rFonts w:hint="default" w:ascii="宋体" w:hAnsi="宋体" w:cs="宋体"/>
          <w:color w:val="000000" w:themeColor="text1"/>
          <w:sz w:val="22"/>
          <w:szCs w:val="22"/>
          <w:highlight w:val="none"/>
          <w14:textFill>
            <w14:solidFill>
              <w14:schemeClr w14:val="tx1"/>
            </w14:solidFill>
          </w14:textFill>
        </w:rPr>
        <w:t>保函</w:t>
      </w:r>
      <w:r>
        <w:rPr>
          <w:rFonts w:hint="eastAsia" w:ascii="宋体" w:hAnsi="宋体" w:cs="宋体"/>
          <w:color w:val="000000" w:themeColor="text1"/>
          <w:sz w:val="22"/>
          <w:szCs w:val="22"/>
          <w:highlight w:val="none"/>
          <w14:textFill>
            <w14:solidFill>
              <w14:schemeClr w14:val="tx1"/>
            </w14:solidFill>
          </w14:textFill>
        </w:rPr>
        <w:t>并交纳了招标代理服务费后予以无息退还。</w:t>
      </w:r>
    </w:p>
    <w:p w14:paraId="3CA5387D">
      <w:pPr>
        <w:numPr>
          <w:ilvl w:val="1"/>
          <w:numId w:val="12"/>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如下列任何情况发生时，投标</w:t>
      </w:r>
      <w:r>
        <w:rPr>
          <w:rFonts w:hint="default" w:ascii="宋体" w:hAnsi="宋体" w:cs="宋体"/>
          <w:color w:val="000000" w:themeColor="text1"/>
          <w:sz w:val="22"/>
          <w:szCs w:val="22"/>
          <w:highlight w:val="none"/>
          <w14:textFill>
            <w14:solidFill>
              <w14:schemeClr w14:val="tx1"/>
            </w14:solidFill>
          </w14:textFill>
        </w:rPr>
        <w:t>保函</w:t>
      </w:r>
      <w:r>
        <w:rPr>
          <w:rFonts w:hint="eastAsia" w:ascii="宋体" w:hAnsi="宋体" w:cs="宋体"/>
          <w:color w:val="000000" w:themeColor="text1"/>
          <w:sz w:val="22"/>
          <w:szCs w:val="22"/>
          <w:highlight w:val="none"/>
          <w14:textFill>
            <w14:solidFill>
              <w14:schemeClr w14:val="tx1"/>
            </w14:solidFill>
          </w14:textFill>
        </w:rPr>
        <w:t>将被没收。</w:t>
      </w:r>
    </w:p>
    <w:p w14:paraId="7B0AFC54">
      <w:pPr>
        <w:numPr>
          <w:ilvl w:val="2"/>
          <w:numId w:val="15"/>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投标人在采购文件中规定的投标有效期内撤回其投标；</w:t>
      </w:r>
    </w:p>
    <w:p w14:paraId="1E0C4FE3">
      <w:pPr>
        <w:numPr>
          <w:ilvl w:val="2"/>
          <w:numId w:val="15"/>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中标人在规定期限内未能根据本项通用条款第47条规定签订合同；</w:t>
      </w:r>
    </w:p>
    <w:p w14:paraId="6E52318A">
      <w:pPr>
        <w:numPr>
          <w:ilvl w:val="2"/>
          <w:numId w:val="15"/>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投标人提供虚假投标文件或虚假补充文件：</w:t>
      </w:r>
    </w:p>
    <w:p w14:paraId="7B2A63B8">
      <w:pPr>
        <w:numPr>
          <w:ilvl w:val="2"/>
          <w:numId w:val="15"/>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投标人以谋取中标为目的的技术规格模糊响应（如有意照搬照抄采购文件的技术要求）或虚假响应的；</w:t>
      </w:r>
    </w:p>
    <w:p w14:paraId="0852706F">
      <w:pPr>
        <w:numPr>
          <w:ilvl w:val="2"/>
          <w:numId w:val="15"/>
        </w:numPr>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投标人质疑投诉提供虚假情况。</w:t>
      </w:r>
    </w:p>
    <w:p w14:paraId="62E08C36">
      <w:pPr>
        <w:numPr>
          <w:ilvl w:val="0"/>
          <w:numId w:val="11"/>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投标人的替代方案</w:t>
      </w:r>
      <w:bookmarkEnd w:id="131"/>
      <w:bookmarkEnd w:id="132"/>
      <w:bookmarkEnd w:id="133"/>
      <w:bookmarkEnd w:id="134"/>
      <w:bookmarkEnd w:id="135"/>
      <w:bookmarkEnd w:id="136"/>
      <w:bookmarkEnd w:id="137"/>
    </w:p>
    <w:p w14:paraId="603D958E">
      <w:pPr>
        <w:numPr>
          <w:ilvl w:val="1"/>
          <w:numId w:val="12"/>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投标人所提交的投标文件应完全满足采购文件（包括图纸和技术规范所示的基本技术设计）的要求。除非招标的项目明确允许投标人提交替代方案，否则投标人有关替代方案的条款将不予考虑。</w:t>
      </w:r>
    </w:p>
    <w:p w14:paraId="05211D48">
      <w:pPr>
        <w:numPr>
          <w:ilvl w:val="1"/>
          <w:numId w:val="12"/>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如果允许投标人提交替代方案，则准备提交替代方案的投标人除应提交一份满足采购文件（包括图纸和技术规范所示的基本技术设计）要求的投标文件外，还应提交需评审其替代方案所需的全部资料，包括项目方案书、技术规范、替代方案报价书、所建议的项目方案及有关的其它详细资料。</w:t>
      </w:r>
    </w:p>
    <w:p w14:paraId="094A3D59">
      <w:pPr>
        <w:ind w:left="907"/>
        <w:rPr>
          <w:rFonts w:ascii="宋体" w:hAnsi="宋体" w:cs="宋体"/>
          <w:color w:val="000000" w:themeColor="text1"/>
          <w:sz w:val="22"/>
          <w:szCs w:val="22"/>
          <w:highlight w:val="none"/>
          <w14:textFill>
            <w14:solidFill>
              <w14:schemeClr w14:val="tx1"/>
            </w14:solidFill>
          </w14:textFill>
        </w:rPr>
      </w:pPr>
    </w:p>
    <w:p w14:paraId="28FED258">
      <w:pPr>
        <w:numPr>
          <w:ilvl w:val="0"/>
          <w:numId w:val="11"/>
        </w:numPr>
        <w:rPr>
          <w:rFonts w:ascii="宋体" w:hAnsi="宋体" w:cs="宋体"/>
          <w:color w:val="000000" w:themeColor="text1"/>
          <w:sz w:val="22"/>
          <w:szCs w:val="22"/>
          <w:highlight w:val="none"/>
          <w14:textFill>
            <w14:solidFill>
              <w14:schemeClr w14:val="tx1"/>
            </w14:solidFill>
          </w14:textFill>
        </w:rPr>
      </w:pPr>
      <w:bookmarkStart w:id="138" w:name="_Toc73517661"/>
      <w:bookmarkStart w:id="139" w:name="_Toc100052386"/>
      <w:bookmarkStart w:id="140" w:name="_Toc73521657"/>
      <w:bookmarkStart w:id="141" w:name="_Toc73521569"/>
      <w:bookmarkStart w:id="142" w:name="_Toc73518139"/>
      <w:r>
        <w:rPr>
          <w:rFonts w:hint="eastAsia" w:ascii="宋体" w:hAnsi="宋体" w:cs="宋体"/>
          <w:color w:val="000000" w:themeColor="text1"/>
          <w:sz w:val="22"/>
          <w:szCs w:val="22"/>
          <w:highlight w:val="none"/>
          <w14:textFill>
            <w14:solidFill>
              <w14:schemeClr w14:val="tx1"/>
            </w14:solidFill>
          </w14:textFill>
        </w:rPr>
        <w:t>投标文件的制作要求</w:t>
      </w:r>
      <w:bookmarkEnd w:id="138"/>
      <w:bookmarkEnd w:id="139"/>
      <w:bookmarkEnd w:id="140"/>
      <w:bookmarkEnd w:id="141"/>
      <w:bookmarkEnd w:id="142"/>
    </w:p>
    <w:p w14:paraId="7D521B89">
      <w:pPr>
        <w:numPr>
          <w:ilvl w:val="1"/>
          <w:numId w:val="12"/>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投标人按照关键信息中要求的份数制作纸质投标文件及投标文件的电子文档。</w:t>
      </w:r>
    </w:p>
    <w:p w14:paraId="62CA65B2">
      <w:pPr>
        <w:numPr>
          <w:ilvl w:val="1"/>
          <w:numId w:val="12"/>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投标人按照采购文件提供的投标文件格式模板及要求编制投标文件。</w:t>
      </w:r>
    </w:p>
    <w:p w14:paraId="2E25B3BE">
      <w:pPr>
        <w:numPr>
          <w:ilvl w:val="1"/>
          <w:numId w:val="12"/>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投标人在利用投标文件格式模板编制投标书时须注意：</w:t>
      </w:r>
    </w:p>
    <w:p w14:paraId="373F69CA">
      <w:pPr>
        <w:numPr>
          <w:ilvl w:val="2"/>
          <w:numId w:val="15"/>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除模板要求填写或添加的内容外，不得对其他文字内容做任何改动。如果因操作失误而改动的，以模板中的文字叙述为准。</w:t>
      </w:r>
    </w:p>
    <w:p w14:paraId="3EAF08D9">
      <w:pPr>
        <w:numPr>
          <w:ilvl w:val="2"/>
          <w:numId w:val="15"/>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采购文件的编号、包号应与根据此招标制作的投标文件项目编号、包号一致。</w:t>
      </w:r>
      <w:bookmarkStart w:id="143" w:name="_Toc73517662"/>
      <w:bookmarkStart w:id="144" w:name="_Toc73521658"/>
      <w:bookmarkStart w:id="145" w:name="_Toc101074880"/>
      <w:bookmarkStart w:id="146" w:name="_Toc73521570"/>
      <w:bookmarkStart w:id="147" w:name="_Toc73518140"/>
      <w:bookmarkStart w:id="148" w:name="_Toc100052387"/>
    </w:p>
    <w:p w14:paraId="40276104">
      <w:pPr>
        <w:rPr>
          <w:color w:val="000000" w:themeColor="text1"/>
          <w:highlight w:val="none"/>
          <w14:textFill>
            <w14:solidFill>
              <w14:schemeClr w14:val="tx1"/>
            </w14:solidFill>
          </w14:textFill>
        </w:rPr>
      </w:pPr>
    </w:p>
    <w:p w14:paraId="58C4276E">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p>
    <w:p w14:paraId="1E18B227">
      <w:pPr>
        <w:rPr>
          <w:color w:val="000000" w:themeColor="text1"/>
          <w:highlight w:val="none"/>
          <w14:textFill>
            <w14:solidFill>
              <w14:schemeClr w14:val="tx1"/>
            </w14:solidFill>
          </w14:textFill>
        </w:rPr>
      </w:pPr>
    </w:p>
    <w:p w14:paraId="319853BE">
      <w:pPr>
        <w:rPr>
          <w:color w:val="000000" w:themeColor="text1"/>
          <w:highlight w:val="none"/>
          <w14:textFill>
            <w14:solidFill>
              <w14:schemeClr w14:val="tx1"/>
            </w14:solidFill>
          </w14:textFill>
        </w:rPr>
      </w:pPr>
    </w:p>
    <w:p w14:paraId="2898685F">
      <w:pPr>
        <w:rPr>
          <w:color w:val="000000" w:themeColor="text1"/>
          <w:highlight w:val="none"/>
          <w14:textFill>
            <w14:solidFill>
              <w14:schemeClr w14:val="tx1"/>
            </w14:solidFill>
          </w14:textFill>
        </w:rPr>
      </w:pPr>
    </w:p>
    <w:p w14:paraId="2ECBE2C5">
      <w:pPr>
        <w:rPr>
          <w:color w:val="000000" w:themeColor="text1"/>
          <w:highlight w:val="none"/>
          <w14:textFill>
            <w14:solidFill>
              <w14:schemeClr w14:val="tx1"/>
            </w14:solidFill>
          </w14:textFill>
        </w:rPr>
      </w:pPr>
    </w:p>
    <w:p w14:paraId="4159FC29">
      <w:pPr>
        <w:rPr>
          <w:color w:val="000000" w:themeColor="text1"/>
          <w:highlight w:val="none"/>
          <w14:textFill>
            <w14:solidFill>
              <w14:schemeClr w14:val="tx1"/>
            </w14:solidFill>
          </w14:textFill>
        </w:rPr>
      </w:pPr>
    </w:p>
    <w:p w14:paraId="7E5A48A2">
      <w:pPr>
        <w:rPr>
          <w:color w:val="000000" w:themeColor="text1"/>
          <w:highlight w:val="none"/>
          <w14:textFill>
            <w14:solidFill>
              <w14:schemeClr w14:val="tx1"/>
            </w14:solidFill>
          </w14:textFill>
        </w:rPr>
      </w:pPr>
    </w:p>
    <w:p w14:paraId="64720B33">
      <w:pPr>
        <w:rPr>
          <w:color w:val="000000" w:themeColor="text1"/>
          <w:highlight w:val="none"/>
          <w14:textFill>
            <w14:solidFill>
              <w14:schemeClr w14:val="tx1"/>
            </w14:solidFill>
          </w14:textFill>
        </w:rPr>
      </w:pPr>
    </w:p>
    <w:p w14:paraId="1B450DE5">
      <w:pPr>
        <w:rPr>
          <w:color w:val="000000" w:themeColor="text1"/>
          <w:highlight w:val="none"/>
          <w14:textFill>
            <w14:solidFill>
              <w14:schemeClr w14:val="tx1"/>
            </w14:solidFill>
          </w14:textFill>
        </w:rPr>
      </w:pPr>
    </w:p>
    <w:p w14:paraId="51780943">
      <w:pPr>
        <w:rPr>
          <w:color w:val="000000" w:themeColor="text1"/>
          <w:highlight w:val="none"/>
          <w14:textFill>
            <w14:solidFill>
              <w14:schemeClr w14:val="tx1"/>
            </w14:solidFill>
          </w14:textFill>
        </w:rPr>
      </w:pPr>
    </w:p>
    <w:p w14:paraId="7FDD7FDC">
      <w:pPr>
        <w:rPr>
          <w:color w:val="000000" w:themeColor="text1"/>
          <w:highlight w:val="none"/>
          <w14:textFill>
            <w14:solidFill>
              <w14:schemeClr w14:val="tx1"/>
            </w14:solidFill>
          </w14:textFill>
        </w:rPr>
      </w:pPr>
    </w:p>
    <w:p w14:paraId="770A26EF">
      <w:pPr>
        <w:rPr>
          <w:color w:val="000000" w:themeColor="text1"/>
          <w:highlight w:val="none"/>
          <w14:textFill>
            <w14:solidFill>
              <w14:schemeClr w14:val="tx1"/>
            </w14:solidFill>
          </w14:textFill>
        </w:rPr>
      </w:pPr>
    </w:p>
    <w:p w14:paraId="4457D39F">
      <w:pPr>
        <w:rPr>
          <w:color w:val="000000" w:themeColor="text1"/>
          <w:highlight w:val="none"/>
          <w14:textFill>
            <w14:solidFill>
              <w14:schemeClr w14:val="tx1"/>
            </w14:solidFill>
          </w14:textFill>
        </w:rPr>
      </w:pPr>
    </w:p>
    <w:p w14:paraId="3E335156">
      <w:pPr>
        <w:rPr>
          <w:color w:val="000000" w:themeColor="text1"/>
          <w:highlight w:val="none"/>
          <w14:textFill>
            <w14:solidFill>
              <w14:schemeClr w14:val="tx1"/>
            </w14:solidFill>
          </w14:textFill>
        </w:rPr>
      </w:pPr>
    </w:p>
    <w:p w14:paraId="25445260">
      <w:pPr>
        <w:rPr>
          <w:color w:val="000000" w:themeColor="text1"/>
          <w:highlight w:val="none"/>
          <w14:textFill>
            <w14:solidFill>
              <w14:schemeClr w14:val="tx1"/>
            </w14:solidFill>
          </w14:textFill>
        </w:rPr>
      </w:pPr>
    </w:p>
    <w:p w14:paraId="6D68D95A">
      <w:pPr>
        <w:rPr>
          <w:color w:val="000000" w:themeColor="text1"/>
          <w:highlight w:val="none"/>
          <w14:textFill>
            <w14:solidFill>
              <w14:schemeClr w14:val="tx1"/>
            </w14:solidFill>
          </w14:textFill>
        </w:rPr>
      </w:pPr>
    </w:p>
    <w:p w14:paraId="69BEADA1">
      <w:pPr>
        <w:pStyle w:val="3"/>
        <w:rPr>
          <w:b w:val="0"/>
          <w:color w:val="000000" w:themeColor="text1"/>
          <w:szCs w:val="28"/>
          <w:highlight w:val="none"/>
          <w14:textFill>
            <w14:solidFill>
              <w14:schemeClr w14:val="tx1"/>
            </w14:solidFill>
          </w14:textFill>
        </w:rPr>
      </w:pPr>
      <w:r>
        <w:rPr>
          <w:b w:val="0"/>
          <w:bCs/>
          <w:color w:val="000000" w:themeColor="text1"/>
          <w:kern w:val="28"/>
          <w:sz w:val="44"/>
          <w:szCs w:val="44"/>
          <w:highlight w:val="none"/>
          <w14:textFill>
            <w14:solidFill>
              <w14:schemeClr w14:val="tx1"/>
            </w14:solidFill>
          </w14:textFill>
        </w:rPr>
        <w:t>第四章  投标文件的递交</w:t>
      </w:r>
      <w:r>
        <w:rPr>
          <w:b w:val="0"/>
          <w:bCs/>
          <w:color w:val="000000" w:themeColor="text1"/>
          <w:kern w:val="28"/>
          <w:sz w:val="44"/>
          <w:szCs w:val="44"/>
          <w:highlight w:val="none"/>
          <w14:textFill>
            <w14:solidFill>
              <w14:schemeClr w14:val="tx1"/>
            </w14:solidFill>
          </w14:textFill>
        </w:rPr>
        <w:br w:type="page"/>
      </w:r>
      <w:bookmarkEnd w:id="143"/>
      <w:bookmarkEnd w:id="144"/>
      <w:bookmarkEnd w:id="145"/>
      <w:bookmarkEnd w:id="146"/>
      <w:bookmarkEnd w:id="147"/>
      <w:bookmarkEnd w:id="148"/>
    </w:p>
    <w:p w14:paraId="4A4DBFD9">
      <w:pPr>
        <w:rPr>
          <w:color w:val="000000" w:themeColor="text1"/>
          <w:highlight w:val="none"/>
          <w14:textFill>
            <w14:solidFill>
              <w14:schemeClr w14:val="tx1"/>
            </w14:solidFill>
          </w14:textFill>
        </w:rPr>
      </w:pPr>
    </w:p>
    <w:p w14:paraId="22EAEBF2">
      <w:pPr>
        <w:numPr>
          <w:ilvl w:val="0"/>
          <w:numId w:val="11"/>
        </w:numPr>
        <w:ind w:left="950" w:hanging="950" w:hangingChars="432"/>
        <w:rPr>
          <w:rFonts w:ascii="宋体" w:hAnsi="宋体" w:cs="宋体"/>
          <w:color w:val="000000" w:themeColor="text1"/>
          <w:sz w:val="22"/>
          <w:szCs w:val="22"/>
          <w:highlight w:val="none"/>
          <w14:textFill>
            <w14:solidFill>
              <w14:schemeClr w14:val="tx1"/>
            </w14:solidFill>
          </w14:textFill>
        </w:rPr>
      </w:pPr>
      <w:bookmarkStart w:id="149" w:name="_Toc73517663"/>
      <w:bookmarkStart w:id="150" w:name="_Toc60560649"/>
      <w:bookmarkStart w:id="151" w:name="_Toc73518141"/>
      <w:bookmarkStart w:id="152" w:name="_Toc100052388"/>
      <w:bookmarkStart w:id="153" w:name="_Toc73521659"/>
      <w:bookmarkStart w:id="154" w:name="_Toc73521571"/>
      <w:bookmarkStart w:id="155" w:name="_Toc60631644"/>
      <w:r>
        <w:rPr>
          <w:rFonts w:hint="eastAsia" w:ascii="宋体" w:hAnsi="宋体" w:cs="宋体"/>
          <w:color w:val="000000" w:themeColor="text1"/>
          <w:sz w:val="22"/>
          <w:szCs w:val="22"/>
          <w:highlight w:val="none"/>
          <w14:textFill>
            <w14:solidFill>
              <w14:schemeClr w14:val="tx1"/>
            </w14:solidFill>
          </w14:textFill>
        </w:rPr>
        <w:t>投标文件密封和标记</w:t>
      </w:r>
    </w:p>
    <w:p w14:paraId="5EA4BAD5">
      <w:pPr>
        <w:numPr>
          <w:ilvl w:val="1"/>
          <w:numId w:val="12"/>
        </w:numPr>
        <w:ind w:left="969" w:hanging="954" w:hangingChars="432"/>
        <w:rPr>
          <w:rFonts w:ascii="宋体" w:hAnsi="宋体" w:cs="宋体"/>
          <w:b/>
          <w:bCs/>
          <w:color w:val="000000" w:themeColor="text1"/>
          <w:sz w:val="22"/>
          <w:szCs w:val="22"/>
          <w:highlight w:val="none"/>
          <w14:textFill>
            <w14:solidFill>
              <w14:schemeClr w14:val="tx1"/>
            </w14:solidFill>
          </w14:textFill>
        </w:rPr>
      </w:pPr>
      <w:r>
        <w:rPr>
          <w:rFonts w:hint="eastAsia" w:ascii="宋体" w:hAnsi="宋体" w:cs="宋体"/>
          <w:b/>
          <w:bCs/>
          <w:color w:val="000000" w:themeColor="text1"/>
          <w:sz w:val="22"/>
          <w:szCs w:val="22"/>
          <w:highlight w:val="none"/>
          <w14:textFill>
            <w14:solidFill>
              <w14:schemeClr w14:val="tx1"/>
            </w14:solidFill>
          </w14:textFill>
        </w:rPr>
        <w:t>投标文件正本和副本、附有投标文件电子文档的光盘密封或U盘，并标明项目编号、包号（如分包的话）、项目名称及“正本”或“副本”，开标一览表和投标文件（含正本和副本）应分开独立密封包装。</w:t>
      </w:r>
    </w:p>
    <w:p w14:paraId="17FB6FA1">
      <w:pPr>
        <w:numPr>
          <w:ilvl w:val="1"/>
          <w:numId w:val="12"/>
        </w:numPr>
        <w:ind w:left="969" w:hanging="954" w:hangingChars="432"/>
        <w:rPr>
          <w:rFonts w:ascii="宋体" w:hAnsi="宋体" w:cs="宋体"/>
          <w:b/>
          <w:bCs/>
          <w:color w:val="000000" w:themeColor="text1"/>
          <w:sz w:val="22"/>
          <w:szCs w:val="22"/>
          <w:highlight w:val="none"/>
          <w14:textFill>
            <w14:solidFill>
              <w14:schemeClr w14:val="tx1"/>
            </w14:solidFill>
          </w14:textFill>
        </w:rPr>
      </w:pPr>
      <w:r>
        <w:rPr>
          <w:rFonts w:hint="eastAsia" w:ascii="宋体" w:hAnsi="宋体" w:cs="宋体"/>
          <w:b/>
          <w:bCs/>
          <w:color w:val="000000" w:themeColor="text1"/>
          <w:sz w:val="22"/>
          <w:szCs w:val="22"/>
          <w:highlight w:val="none"/>
          <w14:textFill>
            <w14:solidFill>
              <w14:schemeClr w14:val="tx1"/>
            </w14:solidFill>
          </w14:textFill>
        </w:rPr>
        <w:t>投标人应将开标一览表和授权委托书单独密封提交，并在信封上标明“开标文件”字样。投标人的法定代表人参加投标时，须开具法定代表人证明书。</w:t>
      </w:r>
    </w:p>
    <w:p w14:paraId="29BD1F59">
      <w:pPr>
        <w:numPr>
          <w:ilvl w:val="1"/>
          <w:numId w:val="12"/>
        </w:numPr>
        <w:ind w:left="969" w:hanging="954" w:hangingChars="432"/>
        <w:rPr>
          <w:rFonts w:ascii="宋体" w:hAnsi="宋体" w:cs="宋体"/>
          <w:b/>
          <w:bCs/>
          <w:color w:val="000000" w:themeColor="text1"/>
          <w:sz w:val="22"/>
          <w:szCs w:val="22"/>
          <w:highlight w:val="none"/>
          <w14:textFill>
            <w14:solidFill>
              <w14:schemeClr w14:val="tx1"/>
            </w14:solidFill>
          </w14:textFill>
        </w:rPr>
      </w:pPr>
      <w:r>
        <w:rPr>
          <w:rFonts w:hint="eastAsia" w:ascii="宋体" w:hAnsi="宋体" w:cs="宋体"/>
          <w:b/>
          <w:bCs/>
          <w:color w:val="000000" w:themeColor="text1"/>
          <w:sz w:val="22"/>
          <w:szCs w:val="22"/>
          <w:highlight w:val="none"/>
          <w14:textFill>
            <w14:solidFill>
              <w14:schemeClr w14:val="tx1"/>
            </w14:solidFill>
          </w14:textFill>
        </w:rPr>
        <w:t>密封包装上注明“在（开标日期、时间）前不得启封”的字样。</w:t>
      </w:r>
    </w:p>
    <w:p w14:paraId="718B6F41">
      <w:pPr>
        <w:ind w:left="907"/>
        <w:rPr>
          <w:rFonts w:ascii="宋体" w:hAnsi="宋体" w:cs="宋体"/>
          <w:color w:val="000000" w:themeColor="text1"/>
          <w:sz w:val="22"/>
          <w:szCs w:val="22"/>
          <w:highlight w:val="none"/>
          <w14:textFill>
            <w14:solidFill>
              <w14:schemeClr w14:val="tx1"/>
            </w14:solidFill>
          </w14:textFill>
        </w:rPr>
      </w:pPr>
    </w:p>
    <w:p w14:paraId="6C35341E">
      <w:pPr>
        <w:numPr>
          <w:ilvl w:val="0"/>
          <w:numId w:val="11"/>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投标截止日期</w:t>
      </w:r>
    </w:p>
    <w:p w14:paraId="2F0A064E">
      <w:pPr>
        <w:numPr>
          <w:ilvl w:val="1"/>
          <w:numId w:val="12"/>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投标人应在不迟于采购公告规定的截止日期和时间将投标文件递交至采购代理机构。</w:t>
      </w:r>
    </w:p>
    <w:p w14:paraId="5B4B6994">
      <w:pPr>
        <w:numPr>
          <w:ilvl w:val="1"/>
          <w:numId w:val="12"/>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采购代理机构可以通过修改采购文件自行决定酌情推迟投标截止期，在此情况下，采购代理机构、采购人和投标人受投标截止期制约的所有权利和义务均应延长至新的截止期。</w:t>
      </w:r>
    </w:p>
    <w:p w14:paraId="076380EF">
      <w:pPr>
        <w:ind w:left="907"/>
        <w:rPr>
          <w:rFonts w:ascii="宋体" w:hAnsi="宋体" w:cs="宋体"/>
          <w:color w:val="000000" w:themeColor="text1"/>
          <w:sz w:val="22"/>
          <w:szCs w:val="22"/>
          <w:highlight w:val="none"/>
          <w14:textFill>
            <w14:solidFill>
              <w14:schemeClr w14:val="tx1"/>
            </w14:solidFill>
          </w14:textFill>
        </w:rPr>
      </w:pPr>
    </w:p>
    <w:p w14:paraId="4B85CD49">
      <w:pPr>
        <w:numPr>
          <w:ilvl w:val="0"/>
          <w:numId w:val="11"/>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样品的递交</w:t>
      </w:r>
    </w:p>
    <w:p w14:paraId="3C6347D5">
      <w:pPr>
        <w:numPr>
          <w:ilvl w:val="1"/>
          <w:numId w:val="12"/>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如有必要，采购单位可以要求投标人提供样品。</w:t>
      </w:r>
    </w:p>
    <w:p w14:paraId="11B71655">
      <w:pPr>
        <w:numPr>
          <w:ilvl w:val="1"/>
          <w:numId w:val="12"/>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未中标供应商的样品将于招标结束后退还。中标供应商的样品由采购单位保留，作为验收的依据。</w:t>
      </w:r>
    </w:p>
    <w:p w14:paraId="652CD0A9">
      <w:pPr>
        <w:ind w:left="907"/>
        <w:rPr>
          <w:rFonts w:ascii="宋体" w:hAnsi="宋体" w:cs="宋体"/>
          <w:color w:val="000000" w:themeColor="text1"/>
          <w:sz w:val="22"/>
          <w:szCs w:val="22"/>
          <w:highlight w:val="none"/>
          <w14:textFill>
            <w14:solidFill>
              <w14:schemeClr w14:val="tx1"/>
            </w14:solidFill>
          </w14:textFill>
        </w:rPr>
      </w:pPr>
    </w:p>
    <w:p w14:paraId="0E98203F">
      <w:pPr>
        <w:numPr>
          <w:ilvl w:val="0"/>
          <w:numId w:val="11"/>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投标文件的修改和撤销</w:t>
      </w:r>
    </w:p>
    <w:p w14:paraId="65A9FDA9">
      <w:pPr>
        <w:numPr>
          <w:ilvl w:val="1"/>
          <w:numId w:val="12"/>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投标方在提交投标文件后可对其投标文件进行修改并重新提交投标文件或撤销投标。</w:t>
      </w:r>
    </w:p>
    <w:p w14:paraId="600C4746">
      <w:pPr>
        <w:numPr>
          <w:ilvl w:val="1"/>
          <w:numId w:val="12"/>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投标截止时间以后不得修改投标文件。</w:t>
      </w:r>
    </w:p>
    <w:p w14:paraId="0C286A71">
      <w:pPr>
        <w:numPr>
          <w:ilvl w:val="1"/>
          <w:numId w:val="12"/>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从投标截止期至投标人在投标书中确定的投标有效期之间的这段时间内，投标人不得撤回其投标，否则其投标</w:t>
      </w:r>
      <w:r>
        <w:rPr>
          <w:rFonts w:hint="default" w:ascii="宋体" w:hAnsi="宋体" w:cs="宋体"/>
          <w:color w:val="000000" w:themeColor="text1"/>
          <w:sz w:val="22"/>
          <w:szCs w:val="22"/>
          <w:highlight w:val="none"/>
          <w14:textFill>
            <w14:solidFill>
              <w14:schemeClr w14:val="tx1"/>
            </w14:solidFill>
          </w14:textFill>
        </w:rPr>
        <w:t>保函</w:t>
      </w:r>
      <w:r>
        <w:rPr>
          <w:rFonts w:hint="eastAsia" w:ascii="宋体" w:hAnsi="宋体" w:cs="宋体"/>
          <w:color w:val="000000" w:themeColor="text1"/>
          <w:sz w:val="22"/>
          <w:szCs w:val="22"/>
          <w:highlight w:val="none"/>
          <w14:textFill>
            <w14:solidFill>
              <w14:schemeClr w14:val="tx1"/>
            </w14:solidFill>
          </w14:textFill>
        </w:rPr>
        <w:t>将按照本通用条款的规定被没收。</w:t>
      </w:r>
      <w:bookmarkEnd w:id="149"/>
      <w:bookmarkEnd w:id="150"/>
      <w:bookmarkEnd w:id="151"/>
      <w:bookmarkEnd w:id="152"/>
      <w:bookmarkEnd w:id="153"/>
      <w:bookmarkEnd w:id="154"/>
      <w:bookmarkEnd w:id="155"/>
    </w:p>
    <w:p w14:paraId="761CC571">
      <w:pPr>
        <w:numPr>
          <w:ilvl w:val="1"/>
          <w:numId w:val="12"/>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政府采购代理机构不退还投标文件，另有规定的除外。</w:t>
      </w:r>
      <w:bookmarkStart w:id="156" w:name="_Toc73518144"/>
      <w:bookmarkStart w:id="157" w:name="_Toc73521574"/>
      <w:bookmarkStart w:id="158" w:name="_Toc73517666"/>
      <w:bookmarkStart w:id="159" w:name="_Toc100052391"/>
      <w:bookmarkStart w:id="160" w:name="_Toc73521662"/>
      <w:bookmarkStart w:id="161" w:name="_Toc101074881"/>
    </w:p>
    <w:p w14:paraId="5D1328D8">
      <w:pPr>
        <w:rPr>
          <w:color w:val="000000" w:themeColor="text1"/>
          <w:highlight w:val="none"/>
          <w14:textFill>
            <w14:solidFill>
              <w14:schemeClr w14:val="tx1"/>
            </w14:solidFill>
          </w14:textFill>
        </w:rPr>
      </w:pPr>
    </w:p>
    <w:p w14:paraId="0DEC335E">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p>
    <w:p w14:paraId="4BBAFB82">
      <w:pPr>
        <w:rPr>
          <w:color w:val="000000" w:themeColor="text1"/>
          <w:highlight w:val="none"/>
          <w14:textFill>
            <w14:solidFill>
              <w14:schemeClr w14:val="tx1"/>
            </w14:solidFill>
          </w14:textFill>
        </w:rPr>
      </w:pPr>
    </w:p>
    <w:p w14:paraId="0575075A">
      <w:pPr>
        <w:rPr>
          <w:color w:val="000000" w:themeColor="text1"/>
          <w:highlight w:val="none"/>
          <w14:textFill>
            <w14:solidFill>
              <w14:schemeClr w14:val="tx1"/>
            </w14:solidFill>
          </w14:textFill>
        </w:rPr>
      </w:pPr>
    </w:p>
    <w:p w14:paraId="28B8DFFA">
      <w:pPr>
        <w:rPr>
          <w:color w:val="000000" w:themeColor="text1"/>
          <w:highlight w:val="none"/>
          <w14:textFill>
            <w14:solidFill>
              <w14:schemeClr w14:val="tx1"/>
            </w14:solidFill>
          </w14:textFill>
        </w:rPr>
      </w:pPr>
    </w:p>
    <w:p w14:paraId="7CCC56C5">
      <w:pPr>
        <w:rPr>
          <w:color w:val="000000" w:themeColor="text1"/>
          <w:highlight w:val="none"/>
          <w14:textFill>
            <w14:solidFill>
              <w14:schemeClr w14:val="tx1"/>
            </w14:solidFill>
          </w14:textFill>
        </w:rPr>
      </w:pPr>
    </w:p>
    <w:p w14:paraId="6813D874">
      <w:pPr>
        <w:rPr>
          <w:color w:val="000000" w:themeColor="text1"/>
          <w:highlight w:val="none"/>
          <w14:textFill>
            <w14:solidFill>
              <w14:schemeClr w14:val="tx1"/>
            </w14:solidFill>
          </w14:textFill>
        </w:rPr>
      </w:pPr>
    </w:p>
    <w:p w14:paraId="3B617805">
      <w:pPr>
        <w:rPr>
          <w:color w:val="000000" w:themeColor="text1"/>
          <w:highlight w:val="none"/>
          <w14:textFill>
            <w14:solidFill>
              <w14:schemeClr w14:val="tx1"/>
            </w14:solidFill>
          </w14:textFill>
        </w:rPr>
      </w:pPr>
    </w:p>
    <w:p w14:paraId="61DEAD36">
      <w:pPr>
        <w:rPr>
          <w:color w:val="000000" w:themeColor="text1"/>
          <w:highlight w:val="none"/>
          <w14:textFill>
            <w14:solidFill>
              <w14:schemeClr w14:val="tx1"/>
            </w14:solidFill>
          </w14:textFill>
        </w:rPr>
      </w:pPr>
    </w:p>
    <w:p w14:paraId="0A266059">
      <w:pPr>
        <w:rPr>
          <w:color w:val="000000" w:themeColor="text1"/>
          <w:highlight w:val="none"/>
          <w14:textFill>
            <w14:solidFill>
              <w14:schemeClr w14:val="tx1"/>
            </w14:solidFill>
          </w14:textFill>
        </w:rPr>
      </w:pPr>
    </w:p>
    <w:p w14:paraId="68AF28C3">
      <w:pPr>
        <w:rPr>
          <w:color w:val="000000" w:themeColor="text1"/>
          <w:highlight w:val="none"/>
          <w14:textFill>
            <w14:solidFill>
              <w14:schemeClr w14:val="tx1"/>
            </w14:solidFill>
          </w14:textFill>
        </w:rPr>
      </w:pPr>
    </w:p>
    <w:p w14:paraId="0D23BE17">
      <w:pPr>
        <w:rPr>
          <w:color w:val="000000" w:themeColor="text1"/>
          <w:highlight w:val="none"/>
          <w14:textFill>
            <w14:solidFill>
              <w14:schemeClr w14:val="tx1"/>
            </w14:solidFill>
          </w14:textFill>
        </w:rPr>
      </w:pPr>
    </w:p>
    <w:p w14:paraId="02361403">
      <w:pPr>
        <w:rPr>
          <w:color w:val="000000" w:themeColor="text1"/>
          <w:highlight w:val="none"/>
          <w14:textFill>
            <w14:solidFill>
              <w14:schemeClr w14:val="tx1"/>
            </w14:solidFill>
          </w14:textFill>
        </w:rPr>
      </w:pPr>
    </w:p>
    <w:p w14:paraId="0C880732">
      <w:pPr>
        <w:rPr>
          <w:color w:val="000000" w:themeColor="text1"/>
          <w:highlight w:val="none"/>
          <w14:textFill>
            <w14:solidFill>
              <w14:schemeClr w14:val="tx1"/>
            </w14:solidFill>
          </w14:textFill>
        </w:rPr>
      </w:pPr>
    </w:p>
    <w:p w14:paraId="0D77FE45">
      <w:pPr>
        <w:rPr>
          <w:color w:val="000000" w:themeColor="text1"/>
          <w:highlight w:val="none"/>
          <w14:textFill>
            <w14:solidFill>
              <w14:schemeClr w14:val="tx1"/>
            </w14:solidFill>
          </w14:textFill>
        </w:rPr>
      </w:pPr>
    </w:p>
    <w:p w14:paraId="140BB82A">
      <w:pPr>
        <w:rPr>
          <w:color w:val="000000" w:themeColor="text1"/>
          <w:highlight w:val="none"/>
          <w14:textFill>
            <w14:solidFill>
              <w14:schemeClr w14:val="tx1"/>
            </w14:solidFill>
          </w14:textFill>
        </w:rPr>
      </w:pPr>
    </w:p>
    <w:p w14:paraId="103EDE3F">
      <w:pPr>
        <w:pStyle w:val="3"/>
        <w:rPr>
          <w:color w:val="000000" w:themeColor="text1"/>
          <w:szCs w:val="28"/>
          <w:highlight w:val="none"/>
          <w14:textFill>
            <w14:solidFill>
              <w14:schemeClr w14:val="tx1"/>
            </w14:solidFill>
          </w14:textFill>
        </w:rPr>
      </w:pPr>
      <w:r>
        <w:rPr>
          <w:b w:val="0"/>
          <w:bCs/>
          <w:color w:val="000000" w:themeColor="text1"/>
          <w:kern w:val="28"/>
          <w:sz w:val="44"/>
          <w:szCs w:val="44"/>
          <w:highlight w:val="none"/>
          <w14:textFill>
            <w14:solidFill>
              <w14:schemeClr w14:val="tx1"/>
            </w14:solidFill>
          </w14:textFill>
        </w:rPr>
        <w:t>第五章  开标</w:t>
      </w:r>
      <w:r>
        <w:rPr>
          <w:b w:val="0"/>
          <w:bCs/>
          <w:color w:val="000000" w:themeColor="text1"/>
          <w:kern w:val="28"/>
          <w:sz w:val="44"/>
          <w:szCs w:val="44"/>
          <w:highlight w:val="none"/>
          <w14:textFill>
            <w14:solidFill>
              <w14:schemeClr w14:val="tx1"/>
            </w14:solidFill>
          </w14:textFill>
        </w:rPr>
        <w:br w:type="page"/>
      </w:r>
      <w:bookmarkEnd w:id="156"/>
      <w:bookmarkEnd w:id="157"/>
      <w:bookmarkEnd w:id="158"/>
      <w:bookmarkEnd w:id="159"/>
      <w:bookmarkEnd w:id="160"/>
      <w:bookmarkEnd w:id="161"/>
    </w:p>
    <w:p w14:paraId="23FC9798">
      <w:pPr>
        <w:rPr>
          <w:color w:val="000000" w:themeColor="text1"/>
          <w:highlight w:val="none"/>
          <w14:textFill>
            <w14:solidFill>
              <w14:schemeClr w14:val="tx1"/>
            </w14:solidFill>
          </w14:textFill>
        </w:rPr>
      </w:pPr>
    </w:p>
    <w:p w14:paraId="5F285C1F">
      <w:pPr>
        <w:numPr>
          <w:ilvl w:val="0"/>
          <w:numId w:val="11"/>
        </w:numPr>
        <w:ind w:left="950" w:hanging="950" w:hangingChars="432"/>
        <w:rPr>
          <w:rFonts w:ascii="宋体" w:hAnsi="宋体" w:cs="宋体"/>
          <w:color w:val="000000" w:themeColor="text1"/>
          <w:sz w:val="22"/>
          <w:szCs w:val="22"/>
          <w:highlight w:val="none"/>
          <w14:textFill>
            <w14:solidFill>
              <w14:schemeClr w14:val="tx1"/>
            </w14:solidFill>
          </w14:textFill>
        </w:rPr>
      </w:pPr>
      <w:bookmarkStart w:id="162" w:name="_Toc60560655"/>
      <w:bookmarkStart w:id="163" w:name="_Toc60631650"/>
      <w:bookmarkStart w:id="164" w:name="_Toc73521575"/>
      <w:bookmarkStart w:id="165" w:name="_Toc73518145"/>
      <w:bookmarkStart w:id="166" w:name="_Toc73521663"/>
      <w:bookmarkStart w:id="167" w:name="_Toc73517667"/>
      <w:bookmarkStart w:id="168" w:name="_Toc100052392"/>
      <w:r>
        <w:rPr>
          <w:rFonts w:hint="eastAsia" w:ascii="宋体" w:hAnsi="宋体" w:cs="宋体"/>
          <w:color w:val="000000" w:themeColor="text1"/>
          <w:sz w:val="22"/>
          <w:szCs w:val="22"/>
          <w:highlight w:val="none"/>
          <w14:textFill>
            <w14:solidFill>
              <w14:schemeClr w14:val="tx1"/>
            </w14:solidFill>
          </w14:textFill>
        </w:rPr>
        <w:t>开标</w:t>
      </w:r>
      <w:bookmarkEnd w:id="162"/>
      <w:bookmarkEnd w:id="163"/>
      <w:bookmarkEnd w:id="164"/>
      <w:bookmarkEnd w:id="165"/>
      <w:bookmarkEnd w:id="166"/>
      <w:bookmarkEnd w:id="167"/>
      <w:bookmarkEnd w:id="168"/>
    </w:p>
    <w:p w14:paraId="3C8A0F3B">
      <w:pPr>
        <w:numPr>
          <w:ilvl w:val="1"/>
          <w:numId w:val="12"/>
        </w:numPr>
        <w:ind w:left="950" w:hanging="950" w:hangingChars="432"/>
        <w:rPr>
          <w:rFonts w:ascii="宋体" w:hAnsi="宋体" w:cs="宋体"/>
          <w:color w:val="000000" w:themeColor="text1"/>
          <w:sz w:val="22"/>
          <w:szCs w:val="22"/>
          <w:highlight w:val="none"/>
          <w14:textFill>
            <w14:solidFill>
              <w14:schemeClr w14:val="tx1"/>
            </w14:solidFill>
          </w14:textFill>
        </w:rPr>
      </w:pPr>
      <w:bookmarkStart w:id="169" w:name="bt评标"/>
      <w:bookmarkEnd w:id="169"/>
      <w:bookmarkStart w:id="170" w:name="_Toc100052393"/>
      <w:bookmarkStart w:id="171" w:name="_Toc73518146"/>
      <w:bookmarkStart w:id="172" w:name="_Toc73521576"/>
      <w:bookmarkStart w:id="173" w:name="_Toc73521664"/>
      <w:bookmarkStart w:id="174" w:name="_Toc73517668"/>
      <w:bookmarkStart w:id="175" w:name="_Toc101074882"/>
      <w:r>
        <w:rPr>
          <w:rFonts w:hint="eastAsia" w:ascii="宋体" w:hAnsi="宋体" w:cs="宋体"/>
          <w:color w:val="000000" w:themeColor="text1"/>
          <w:sz w:val="22"/>
          <w:szCs w:val="22"/>
          <w:highlight w:val="none"/>
          <w14:textFill>
            <w14:solidFill>
              <w14:schemeClr w14:val="tx1"/>
            </w14:solidFill>
          </w14:textFill>
        </w:rPr>
        <w:t>政府采购代理机构按采购公告规定的日期、时间和地点组织公开开标。投标人应派代表参加，参加开标的投标人代表签名报到以证明其出席。</w:t>
      </w:r>
    </w:p>
    <w:p w14:paraId="2195596E">
      <w:pPr>
        <w:numPr>
          <w:ilvl w:val="1"/>
          <w:numId w:val="12"/>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开标时，采购代理机构当众宣读投标人名称、修改和撤回的通知、开标一览表的内容。</w:t>
      </w:r>
    </w:p>
    <w:p w14:paraId="3AD2ECD4">
      <w:pPr>
        <w:numPr>
          <w:ilvl w:val="1"/>
          <w:numId w:val="12"/>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除了按照规定原封退回迟到的投标之外，开标时不得拒绝任何已报名购买采购文件的投标人的投标。</w:t>
      </w:r>
    </w:p>
    <w:p w14:paraId="2956BB26">
      <w:pPr>
        <w:numPr>
          <w:ilvl w:val="1"/>
          <w:numId w:val="12"/>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开标时没有启封和读出的投标文件，在评标时将不予考虑。没有启封和读出的投标文件将原封退回给投标人。</w:t>
      </w:r>
    </w:p>
    <w:p w14:paraId="66E2C3E4">
      <w:pPr>
        <w:numPr>
          <w:ilvl w:val="1"/>
          <w:numId w:val="12"/>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投标人对开标有异议的，应当在开标现场提出。采购代理机构将做开标记录，并要求出席有关人员签字确认。</w:t>
      </w:r>
    </w:p>
    <w:p w14:paraId="55097C5A">
      <w:pPr>
        <w:numPr>
          <w:ilvl w:val="1"/>
          <w:numId w:val="12"/>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公开招标采购项目开标结束后，采购人或者采购代理机构应当依法对投标人的资格进行审查。资格性检查：依据法律法规和采购文件的规定，对投标文件中的资格证明、投标</w:t>
      </w:r>
      <w:r>
        <w:rPr>
          <w:rFonts w:hint="default" w:ascii="宋体" w:hAnsi="宋体" w:cs="宋体"/>
          <w:color w:val="000000" w:themeColor="text1"/>
          <w:sz w:val="22"/>
          <w:szCs w:val="22"/>
          <w:highlight w:val="none"/>
          <w14:textFill>
            <w14:solidFill>
              <w14:schemeClr w14:val="tx1"/>
            </w14:solidFill>
          </w14:textFill>
        </w:rPr>
        <w:t>保函</w:t>
      </w:r>
      <w:r>
        <w:rPr>
          <w:rFonts w:hint="eastAsia" w:ascii="宋体" w:hAnsi="宋体" w:cs="宋体"/>
          <w:color w:val="000000" w:themeColor="text1"/>
          <w:sz w:val="22"/>
          <w:szCs w:val="22"/>
          <w:highlight w:val="none"/>
          <w14:textFill>
            <w14:solidFill>
              <w14:schemeClr w14:val="tx1"/>
            </w14:solidFill>
          </w14:textFill>
        </w:rPr>
        <w:t>等进行审查，以确定投标供应商是否具备投标资格。</w:t>
      </w:r>
    </w:p>
    <w:p w14:paraId="0D442A1B">
      <w:pPr>
        <w:numPr>
          <w:ilvl w:val="1"/>
          <w:numId w:val="12"/>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合格投标人不足3家的，不得评标。</w:t>
      </w:r>
    </w:p>
    <w:p w14:paraId="2D1369F2">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p>
    <w:p w14:paraId="78F37217">
      <w:pPr>
        <w:rPr>
          <w:color w:val="000000" w:themeColor="text1"/>
          <w:highlight w:val="none"/>
          <w14:textFill>
            <w14:solidFill>
              <w14:schemeClr w14:val="tx1"/>
            </w14:solidFill>
          </w14:textFill>
        </w:rPr>
      </w:pPr>
    </w:p>
    <w:p w14:paraId="697A8281">
      <w:pPr>
        <w:rPr>
          <w:color w:val="000000" w:themeColor="text1"/>
          <w:highlight w:val="none"/>
          <w14:textFill>
            <w14:solidFill>
              <w14:schemeClr w14:val="tx1"/>
            </w14:solidFill>
          </w14:textFill>
        </w:rPr>
      </w:pPr>
    </w:p>
    <w:p w14:paraId="1B4D12B3">
      <w:pPr>
        <w:rPr>
          <w:color w:val="000000" w:themeColor="text1"/>
          <w:highlight w:val="none"/>
          <w14:textFill>
            <w14:solidFill>
              <w14:schemeClr w14:val="tx1"/>
            </w14:solidFill>
          </w14:textFill>
        </w:rPr>
      </w:pPr>
    </w:p>
    <w:p w14:paraId="7D400602">
      <w:pPr>
        <w:rPr>
          <w:color w:val="000000" w:themeColor="text1"/>
          <w:highlight w:val="none"/>
          <w14:textFill>
            <w14:solidFill>
              <w14:schemeClr w14:val="tx1"/>
            </w14:solidFill>
          </w14:textFill>
        </w:rPr>
      </w:pPr>
    </w:p>
    <w:p w14:paraId="59F262CD">
      <w:pPr>
        <w:rPr>
          <w:color w:val="000000" w:themeColor="text1"/>
          <w:highlight w:val="none"/>
          <w14:textFill>
            <w14:solidFill>
              <w14:schemeClr w14:val="tx1"/>
            </w14:solidFill>
          </w14:textFill>
        </w:rPr>
      </w:pPr>
    </w:p>
    <w:p w14:paraId="3B38DFEA">
      <w:pPr>
        <w:rPr>
          <w:color w:val="000000" w:themeColor="text1"/>
          <w:highlight w:val="none"/>
          <w14:textFill>
            <w14:solidFill>
              <w14:schemeClr w14:val="tx1"/>
            </w14:solidFill>
          </w14:textFill>
        </w:rPr>
      </w:pPr>
    </w:p>
    <w:p w14:paraId="0C6A44D7">
      <w:pPr>
        <w:rPr>
          <w:color w:val="000000" w:themeColor="text1"/>
          <w:highlight w:val="none"/>
          <w14:textFill>
            <w14:solidFill>
              <w14:schemeClr w14:val="tx1"/>
            </w14:solidFill>
          </w14:textFill>
        </w:rPr>
      </w:pPr>
    </w:p>
    <w:p w14:paraId="4FE188B0">
      <w:pPr>
        <w:rPr>
          <w:color w:val="000000" w:themeColor="text1"/>
          <w:highlight w:val="none"/>
          <w14:textFill>
            <w14:solidFill>
              <w14:schemeClr w14:val="tx1"/>
            </w14:solidFill>
          </w14:textFill>
        </w:rPr>
      </w:pPr>
    </w:p>
    <w:p w14:paraId="076DCF9E">
      <w:pPr>
        <w:rPr>
          <w:color w:val="000000" w:themeColor="text1"/>
          <w:highlight w:val="none"/>
          <w14:textFill>
            <w14:solidFill>
              <w14:schemeClr w14:val="tx1"/>
            </w14:solidFill>
          </w14:textFill>
        </w:rPr>
      </w:pPr>
    </w:p>
    <w:p w14:paraId="73C441A7">
      <w:pPr>
        <w:rPr>
          <w:color w:val="000000" w:themeColor="text1"/>
          <w:highlight w:val="none"/>
          <w14:textFill>
            <w14:solidFill>
              <w14:schemeClr w14:val="tx1"/>
            </w14:solidFill>
          </w14:textFill>
        </w:rPr>
      </w:pPr>
    </w:p>
    <w:p w14:paraId="08F43628">
      <w:pPr>
        <w:rPr>
          <w:color w:val="000000" w:themeColor="text1"/>
          <w:highlight w:val="none"/>
          <w14:textFill>
            <w14:solidFill>
              <w14:schemeClr w14:val="tx1"/>
            </w14:solidFill>
          </w14:textFill>
        </w:rPr>
      </w:pPr>
    </w:p>
    <w:p w14:paraId="2FDFE752">
      <w:pPr>
        <w:rPr>
          <w:color w:val="000000" w:themeColor="text1"/>
          <w:highlight w:val="none"/>
          <w14:textFill>
            <w14:solidFill>
              <w14:schemeClr w14:val="tx1"/>
            </w14:solidFill>
          </w14:textFill>
        </w:rPr>
      </w:pPr>
    </w:p>
    <w:p w14:paraId="6F85436D">
      <w:pPr>
        <w:rPr>
          <w:color w:val="000000" w:themeColor="text1"/>
          <w:highlight w:val="none"/>
          <w14:textFill>
            <w14:solidFill>
              <w14:schemeClr w14:val="tx1"/>
            </w14:solidFill>
          </w14:textFill>
        </w:rPr>
      </w:pPr>
    </w:p>
    <w:p w14:paraId="581F9107">
      <w:pPr>
        <w:rPr>
          <w:color w:val="000000" w:themeColor="text1"/>
          <w:highlight w:val="none"/>
          <w14:textFill>
            <w14:solidFill>
              <w14:schemeClr w14:val="tx1"/>
            </w14:solidFill>
          </w14:textFill>
        </w:rPr>
      </w:pPr>
    </w:p>
    <w:p w14:paraId="372EF877">
      <w:pPr>
        <w:rPr>
          <w:color w:val="000000" w:themeColor="text1"/>
          <w:highlight w:val="none"/>
          <w14:textFill>
            <w14:solidFill>
              <w14:schemeClr w14:val="tx1"/>
            </w14:solidFill>
          </w14:textFill>
        </w:rPr>
      </w:pPr>
    </w:p>
    <w:p w14:paraId="10366D2D">
      <w:pPr>
        <w:pStyle w:val="3"/>
        <w:rPr>
          <w:color w:val="000000" w:themeColor="text1"/>
          <w:szCs w:val="28"/>
          <w:highlight w:val="none"/>
          <w14:textFill>
            <w14:solidFill>
              <w14:schemeClr w14:val="tx1"/>
            </w14:solidFill>
          </w14:textFill>
        </w:rPr>
      </w:pPr>
      <w:r>
        <w:rPr>
          <w:b w:val="0"/>
          <w:bCs/>
          <w:color w:val="000000" w:themeColor="text1"/>
          <w:kern w:val="28"/>
          <w:sz w:val="44"/>
          <w:szCs w:val="44"/>
          <w:highlight w:val="none"/>
          <w14:textFill>
            <w14:solidFill>
              <w14:schemeClr w14:val="tx1"/>
            </w14:solidFill>
          </w14:textFill>
        </w:rPr>
        <w:t>第六章  评标要求</w:t>
      </w:r>
      <w:r>
        <w:rPr>
          <w:b w:val="0"/>
          <w:bCs/>
          <w:color w:val="000000" w:themeColor="text1"/>
          <w:kern w:val="28"/>
          <w:sz w:val="44"/>
          <w:szCs w:val="44"/>
          <w:highlight w:val="none"/>
          <w14:textFill>
            <w14:solidFill>
              <w14:schemeClr w14:val="tx1"/>
            </w14:solidFill>
          </w14:textFill>
        </w:rPr>
        <w:br w:type="page"/>
      </w:r>
      <w:bookmarkEnd w:id="170"/>
      <w:bookmarkEnd w:id="171"/>
      <w:bookmarkEnd w:id="172"/>
      <w:bookmarkEnd w:id="173"/>
      <w:bookmarkEnd w:id="174"/>
      <w:bookmarkEnd w:id="175"/>
    </w:p>
    <w:p w14:paraId="7BEFED74">
      <w:pPr>
        <w:rPr>
          <w:rFonts w:ascii="宋体" w:hAnsi="宋体" w:cs="宋体"/>
          <w:color w:val="000000" w:themeColor="text1"/>
          <w:sz w:val="22"/>
          <w:szCs w:val="22"/>
          <w:highlight w:val="none"/>
          <w14:textFill>
            <w14:solidFill>
              <w14:schemeClr w14:val="tx1"/>
            </w14:solidFill>
          </w14:textFill>
        </w:rPr>
      </w:pPr>
    </w:p>
    <w:p w14:paraId="3DC92F41">
      <w:pPr>
        <w:numPr>
          <w:ilvl w:val="0"/>
          <w:numId w:val="11"/>
        </w:numPr>
        <w:ind w:left="950" w:hanging="950" w:hangingChars="432"/>
        <w:rPr>
          <w:rFonts w:ascii="宋体" w:hAnsi="宋体" w:cs="宋体"/>
          <w:color w:val="000000" w:themeColor="text1"/>
          <w:sz w:val="22"/>
          <w:szCs w:val="22"/>
          <w:highlight w:val="none"/>
          <w14:textFill>
            <w14:solidFill>
              <w14:schemeClr w14:val="tx1"/>
            </w14:solidFill>
          </w14:textFill>
        </w:rPr>
      </w:pPr>
      <w:bookmarkStart w:id="176" w:name="bt评标会议"/>
      <w:bookmarkEnd w:id="176"/>
      <w:bookmarkStart w:id="177" w:name="_Toc73521665"/>
      <w:bookmarkStart w:id="178" w:name="_Toc100052394"/>
      <w:bookmarkStart w:id="179" w:name="_Toc73521577"/>
      <w:bookmarkStart w:id="180" w:name="_Toc73518147"/>
      <w:bookmarkStart w:id="181" w:name="_Toc73517669"/>
      <w:r>
        <w:rPr>
          <w:rFonts w:hint="eastAsia" w:ascii="宋体" w:hAnsi="宋体" w:cs="宋体"/>
          <w:color w:val="000000" w:themeColor="text1"/>
          <w:sz w:val="22"/>
          <w:szCs w:val="22"/>
          <w:highlight w:val="none"/>
          <w14:textFill>
            <w14:solidFill>
              <w14:schemeClr w14:val="tx1"/>
            </w14:solidFill>
          </w14:textFill>
        </w:rPr>
        <w:t>评审委员会组成</w:t>
      </w:r>
    </w:p>
    <w:p w14:paraId="1CC7073B">
      <w:pPr>
        <w:numPr>
          <w:ilvl w:val="1"/>
          <w:numId w:val="12"/>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开标结束后召开评标会议，评审委员会由政府采购代理机构依法组建，负责评标活动。</w:t>
      </w:r>
    </w:p>
    <w:p w14:paraId="41DE13F1">
      <w:pPr>
        <w:numPr>
          <w:ilvl w:val="2"/>
          <w:numId w:val="15"/>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评审委员会的组成及行为规范执行《政府采购货物和服务招标投标管理办法（财政部令第87号）》，评审委员会由采购单位代表和有关技术、经济等方面的专家组成，成员人数为5人以上（含5人）单数，其中技术、经济等方面的专家不少于成员总数的三分之二。</w:t>
      </w:r>
    </w:p>
    <w:p w14:paraId="71862637">
      <w:pPr>
        <w:numPr>
          <w:ilvl w:val="2"/>
          <w:numId w:val="15"/>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为保证评委人选的专业性，以及评标中的公平公正性，评审委员会成员从深圳市财政委员会评标专家库中随机抽取。</w:t>
      </w:r>
    </w:p>
    <w:p w14:paraId="5F7FB978">
      <w:pPr>
        <w:numPr>
          <w:ilvl w:val="2"/>
          <w:numId w:val="15"/>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采购单位代表须持本单位签发的《评标授权书》参加评标。</w:t>
      </w:r>
    </w:p>
    <w:p w14:paraId="7743AD6C">
      <w:pPr>
        <w:numPr>
          <w:ilvl w:val="2"/>
          <w:numId w:val="15"/>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采购单位无代表参与评标，应在开标前一天提交《采购单位不派评委参与项目评标承诺书》给政府采购代理机构。</w:t>
      </w:r>
    </w:p>
    <w:p w14:paraId="7A9F937A">
      <w:pPr>
        <w:numPr>
          <w:ilvl w:val="1"/>
          <w:numId w:val="12"/>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评标定标应当遵循公平、公正、科学、择优的原则。</w:t>
      </w:r>
    </w:p>
    <w:p w14:paraId="33F4EC4E">
      <w:pPr>
        <w:numPr>
          <w:ilvl w:val="1"/>
          <w:numId w:val="12"/>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评标活动依法进行，任何单位和个人不得非法干预评标过程和结果。</w:t>
      </w:r>
    </w:p>
    <w:p w14:paraId="4A525DBD">
      <w:pPr>
        <w:numPr>
          <w:ilvl w:val="1"/>
          <w:numId w:val="12"/>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评标过程中不允许违背评标程序或采用采购文件未载明的评标方法或评标因素进行评标。</w:t>
      </w:r>
    </w:p>
    <w:p w14:paraId="35680870">
      <w:pPr>
        <w:numPr>
          <w:ilvl w:val="1"/>
          <w:numId w:val="12"/>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开标后，直到授予中标人合同为止，凡属于对投标文件的审查、澄清、评价和比较的有关资料以及中标候选人的推荐情况、与评标有关的其他任何情况均严格保密。</w:t>
      </w:r>
    </w:p>
    <w:p w14:paraId="047F480D">
      <w:pPr>
        <w:ind w:left="907"/>
        <w:rPr>
          <w:rFonts w:ascii="宋体" w:hAnsi="宋体" w:cs="宋体"/>
          <w:color w:val="000000" w:themeColor="text1"/>
          <w:sz w:val="22"/>
          <w:szCs w:val="22"/>
          <w:highlight w:val="none"/>
          <w14:textFill>
            <w14:solidFill>
              <w14:schemeClr w14:val="tx1"/>
            </w14:solidFill>
          </w14:textFill>
        </w:rPr>
      </w:pPr>
    </w:p>
    <w:p w14:paraId="4055B3ED">
      <w:pPr>
        <w:numPr>
          <w:ilvl w:val="0"/>
          <w:numId w:val="11"/>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向评审委员会提供的资料</w:t>
      </w:r>
    </w:p>
    <w:p w14:paraId="03A64285">
      <w:pPr>
        <w:numPr>
          <w:ilvl w:val="1"/>
          <w:numId w:val="12"/>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公开发布的采购文件，包括图纸、服务清单、答疑文件等；</w:t>
      </w:r>
    </w:p>
    <w:p w14:paraId="7DD2A81C">
      <w:pPr>
        <w:numPr>
          <w:ilvl w:val="1"/>
          <w:numId w:val="12"/>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其他评标必须的资料。</w:t>
      </w:r>
    </w:p>
    <w:p w14:paraId="10083F7C">
      <w:pPr>
        <w:numPr>
          <w:ilvl w:val="1"/>
          <w:numId w:val="12"/>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评审委员会应当认真研究采购文件，至少应了解熟悉以下内容：</w:t>
      </w:r>
    </w:p>
    <w:p w14:paraId="06CEA5BB">
      <w:pPr>
        <w:numPr>
          <w:ilvl w:val="2"/>
          <w:numId w:val="15"/>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招标的目的；</w:t>
      </w:r>
    </w:p>
    <w:p w14:paraId="78F4FB3F">
      <w:pPr>
        <w:numPr>
          <w:ilvl w:val="2"/>
          <w:numId w:val="15"/>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招标项目需求的范围和性质；</w:t>
      </w:r>
    </w:p>
    <w:p w14:paraId="319C53DC">
      <w:pPr>
        <w:numPr>
          <w:ilvl w:val="2"/>
          <w:numId w:val="15"/>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采购文件规定的投标人的资格、财政预算限额、商务条款；</w:t>
      </w:r>
    </w:p>
    <w:p w14:paraId="515373EA">
      <w:pPr>
        <w:numPr>
          <w:ilvl w:val="2"/>
          <w:numId w:val="15"/>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采购文件规定的评标程序、评标方法和评标因素；</w:t>
      </w:r>
    </w:p>
    <w:p w14:paraId="046FD7B0">
      <w:pPr>
        <w:numPr>
          <w:ilvl w:val="2"/>
          <w:numId w:val="15"/>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采购文件所列示的废标条款；</w:t>
      </w:r>
    </w:p>
    <w:p w14:paraId="0F1205BA">
      <w:pPr>
        <w:ind w:left="907"/>
        <w:rPr>
          <w:rFonts w:ascii="宋体" w:hAnsi="宋体" w:cs="宋体"/>
          <w:color w:val="000000" w:themeColor="text1"/>
          <w:sz w:val="22"/>
          <w:szCs w:val="22"/>
          <w:highlight w:val="none"/>
          <w14:textFill>
            <w14:solidFill>
              <w14:schemeClr w14:val="tx1"/>
            </w14:solidFill>
          </w14:textFill>
        </w:rPr>
      </w:pPr>
    </w:p>
    <w:p w14:paraId="317BF928">
      <w:pPr>
        <w:numPr>
          <w:ilvl w:val="0"/>
          <w:numId w:val="11"/>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独立评标</w:t>
      </w:r>
    </w:p>
    <w:p w14:paraId="7B4C98D9">
      <w:pPr>
        <w:numPr>
          <w:ilvl w:val="1"/>
          <w:numId w:val="12"/>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评审委员会成员的评标活动应当独立进行，并应遵循投标文件初审、澄清有关问题、比较与评价、确定中标供应商、编写评标报告的工作程序。</w:t>
      </w:r>
      <w:bookmarkEnd w:id="177"/>
      <w:bookmarkEnd w:id="178"/>
      <w:bookmarkEnd w:id="179"/>
      <w:bookmarkEnd w:id="180"/>
      <w:bookmarkEnd w:id="181"/>
      <w:bookmarkStart w:id="182" w:name="bt评标过程的保密"/>
      <w:bookmarkEnd w:id="182"/>
      <w:bookmarkStart w:id="183" w:name="bt错误的修正"/>
      <w:bookmarkEnd w:id="183"/>
    </w:p>
    <w:p w14:paraId="2223194B">
      <w:pPr>
        <w:rPr>
          <w:color w:val="000000" w:themeColor="text1"/>
          <w:highlight w:val="none"/>
          <w14:textFill>
            <w14:solidFill>
              <w14:schemeClr w14:val="tx1"/>
            </w14:solidFill>
          </w14:textFill>
        </w:rPr>
      </w:pPr>
      <w:bookmarkStart w:id="184" w:name="_Toc101074883"/>
      <w:bookmarkStart w:id="185" w:name="_Toc100052397"/>
    </w:p>
    <w:p w14:paraId="562966CA">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p>
    <w:p w14:paraId="1D7FEE5D">
      <w:pPr>
        <w:rPr>
          <w:color w:val="000000" w:themeColor="text1"/>
          <w:highlight w:val="none"/>
          <w14:textFill>
            <w14:solidFill>
              <w14:schemeClr w14:val="tx1"/>
            </w14:solidFill>
          </w14:textFill>
        </w:rPr>
      </w:pPr>
    </w:p>
    <w:p w14:paraId="7C4D78BF">
      <w:pPr>
        <w:rPr>
          <w:color w:val="000000" w:themeColor="text1"/>
          <w:highlight w:val="none"/>
          <w14:textFill>
            <w14:solidFill>
              <w14:schemeClr w14:val="tx1"/>
            </w14:solidFill>
          </w14:textFill>
        </w:rPr>
      </w:pPr>
    </w:p>
    <w:p w14:paraId="743D5E85">
      <w:pPr>
        <w:rPr>
          <w:color w:val="000000" w:themeColor="text1"/>
          <w:highlight w:val="none"/>
          <w14:textFill>
            <w14:solidFill>
              <w14:schemeClr w14:val="tx1"/>
            </w14:solidFill>
          </w14:textFill>
        </w:rPr>
      </w:pPr>
    </w:p>
    <w:p w14:paraId="2171FBC5">
      <w:pPr>
        <w:rPr>
          <w:color w:val="000000" w:themeColor="text1"/>
          <w:highlight w:val="none"/>
          <w14:textFill>
            <w14:solidFill>
              <w14:schemeClr w14:val="tx1"/>
            </w14:solidFill>
          </w14:textFill>
        </w:rPr>
      </w:pPr>
    </w:p>
    <w:p w14:paraId="486DF53F">
      <w:pPr>
        <w:rPr>
          <w:color w:val="000000" w:themeColor="text1"/>
          <w:highlight w:val="none"/>
          <w14:textFill>
            <w14:solidFill>
              <w14:schemeClr w14:val="tx1"/>
            </w14:solidFill>
          </w14:textFill>
        </w:rPr>
      </w:pPr>
    </w:p>
    <w:p w14:paraId="75CF358F">
      <w:pPr>
        <w:rPr>
          <w:color w:val="000000" w:themeColor="text1"/>
          <w:highlight w:val="none"/>
          <w14:textFill>
            <w14:solidFill>
              <w14:schemeClr w14:val="tx1"/>
            </w14:solidFill>
          </w14:textFill>
        </w:rPr>
      </w:pPr>
    </w:p>
    <w:p w14:paraId="482BDF9A">
      <w:pPr>
        <w:rPr>
          <w:color w:val="000000" w:themeColor="text1"/>
          <w:highlight w:val="none"/>
          <w14:textFill>
            <w14:solidFill>
              <w14:schemeClr w14:val="tx1"/>
            </w14:solidFill>
          </w14:textFill>
        </w:rPr>
      </w:pPr>
    </w:p>
    <w:p w14:paraId="101BB1D5">
      <w:pPr>
        <w:rPr>
          <w:color w:val="000000" w:themeColor="text1"/>
          <w:highlight w:val="none"/>
          <w14:textFill>
            <w14:solidFill>
              <w14:schemeClr w14:val="tx1"/>
            </w14:solidFill>
          </w14:textFill>
        </w:rPr>
      </w:pPr>
    </w:p>
    <w:p w14:paraId="4281A00E">
      <w:pPr>
        <w:rPr>
          <w:color w:val="000000" w:themeColor="text1"/>
          <w:highlight w:val="none"/>
          <w14:textFill>
            <w14:solidFill>
              <w14:schemeClr w14:val="tx1"/>
            </w14:solidFill>
          </w14:textFill>
        </w:rPr>
      </w:pPr>
    </w:p>
    <w:p w14:paraId="2D776478">
      <w:pPr>
        <w:rPr>
          <w:color w:val="000000" w:themeColor="text1"/>
          <w:highlight w:val="none"/>
          <w14:textFill>
            <w14:solidFill>
              <w14:schemeClr w14:val="tx1"/>
            </w14:solidFill>
          </w14:textFill>
        </w:rPr>
      </w:pPr>
    </w:p>
    <w:p w14:paraId="6A143F8A">
      <w:pPr>
        <w:rPr>
          <w:color w:val="000000" w:themeColor="text1"/>
          <w:highlight w:val="none"/>
          <w14:textFill>
            <w14:solidFill>
              <w14:schemeClr w14:val="tx1"/>
            </w14:solidFill>
          </w14:textFill>
        </w:rPr>
      </w:pPr>
    </w:p>
    <w:p w14:paraId="3A61D132">
      <w:pPr>
        <w:rPr>
          <w:color w:val="000000" w:themeColor="text1"/>
          <w:highlight w:val="none"/>
          <w14:textFill>
            <w14:solidFill>
              <w14:schemeClr w14:val="tx1"/>
            </w14:solidFill>
          </w14:textFill>
        </w:rPr>
      </w:pPr>
    </w:p>
    <w:p w14:paraId="39C76BC2">
      <w:pPr>
        <w:rPr>
          <w:color w:val="000000" w:themeColor="text1"/>
          <w:highlight w:val="none"/>
          <w14:textFill>
            <w14:solidFill>
              <w14:schemeClr w14:val="tx1"/>
            </w14:solidFill>
          </w14:textFill>
        </w:rPr>
      </w:pPr>
    </w:p>
    <w:p w14:paraId="5FECF9CA">
      <w:pPr>
        <w:rPr>
          <w:color w:val="000000" w:themeColor="text1"/>
          <w:highlight w:val="none"/>
          <w14:textFill>
            <w14:solidFill>
              <w14:schemeClr w14:val="tx1"/>
            </w14:solidFill>
          </w14:textFill>
        </w:rPr>
      </w:pPr>
    </w:p>
    <w:p w14:paraId="32A1F523">
      <w:pPr>
        <w:rPr>
          <w:color w:val="000000" w:themeColor="text1"/>
          <w:highlight w:val="none"/>
          <w14:textFill>
            <w14:solidFill>
              <w14:schemeClr w14:val="tx1"/>
            </w14:solidFill>
          </w14:textFill>
        </w:rPr>
      </w:pPr>
    </w:p>
    <w:p w14:paraId="7AE05036">
      <w:pPr>
        <w:pStyle w:val="3"/>
        <w:rPr>
          <w:b w:val="0"/>
          <w:bCs/>
          <w:color w:val="000000" w:themeColor="text1"/>
          <w:kern w:val="28"/>
          <w:sz w:val="44"/>
          <w:szCs w:val="44"/>
          <w:highlight w:val="none"/>
          <w14:textFill>
            <w14:solidFill>
              <w14:schemeClr w14:val="tx1"/>
            </w14:solidFill>
          </w14:textFill>
        </w:rPr>
      </w:pPr>
      <w:r>
        <w:rPr>
          <w:b w:val="0"/>
          <w:bCs/>
          <w:color w:val="000000" w:themeColor="text1"/>
          <w:kern w:val="28"/>
          <w:sz w:val="44"/>
          <w:szCs w:val="44"/>
          <w:highlight w:val="none"/>
          <w14:textFill>
            <w14:solidFill>
              <w14:schemeClr w14:val="tx1"/>
            </w14:solidFill>
          </w14:textFill>
        </w:rPr>
        <w:t>第七章  评标程序及评标方法</w:t>
      </w:r>
    </w:p>
    <w:p w14:paraId="4E0693E1">
      <w:pPr>
        <w:ind w:left="-907" w:leftChars="-432"/>
        <w:jc w:val="center"/>
        <w:rPr>
          <w:color w:val="000000" w:themeColor="text1"/>
          <w:szCs w:val="28"/>
          <w:highlight w:val="none"/>
          <w14:textFill>
            <w14:solidFill>
              <w14:schemeClr w14:val="tx1"/>
            </w14:solidFill>
          </w14:textFill>
        </w:rPr>
      </w:pPr>
      <w:r>
        <w:rPr>
          <w:color w:val="000000" w:themeColor="text1"/>
          <w:szCs w:val="28"/>
          <w:highlight w:val="none"/>
          <w14:textFill>
            <w14:solidFill>
              <w14:schemeClr w14:val="tx1"/>
            </w14:solidFill>
          </w14:textFill>
        </w:rPr>
        <w:br w:type="page"/>
      </w:r>
      <w:bookmarkEnd w:id="184"/>
      <w:bookmarkEnd w:id="185"/>
      <w:bookmarkStart w:id="186" w:name="_Toc73521667"/>
      <w:bookmarkStart w:id="187" w:name="_Toc73518149"/>
      <w:bookmarkStart w:id="188" w:name="_Toc73517671"/>
      <w:bookmarkStart w:id="189" w:name="_Toc73521579"/>
    </w:p>
    <w:p w14:paraId="06607D5C">
      <w:pPr>
        <w:rPr>
          <w:color w:val="000000" w:themeColor="text1"/>
          <w:highlight w:val="none"/>
          <w14:textFill>
            <w14:solidFill>
              <w14:schemeClr w14:val="tx1"/>
            </w14:solidFill>
          </w14:textFill>
        </w:rPr>
      </w:pPr>
    </w:p>
    <w:p w14:paraId="54FD3372">
      <w:pPr>
        <w:numPr>
          <w:ilvl w:val="0"/>
          <w:numId w:val="11"/>
        </w:numPr>
        <w:ind w:left="950" w:hanging="950" w:hangingChars="432"/>
        <w:rPr>
          <w:rFonts w:ascii="宋体" w:hAnsi="宋体" w:cs="宋体"/>
          <w:color w:val="000000" w:themeColor="text1"/>
          <w:sz w:val="22"/>
          <w:szCs w:val="22"/>
          <w:highlight w:val="none"/>
          <w14:textFill>
            <w14:solidFill>
              <w14:schemeClr w14:val="tx1"/>
            </w14:solidFill>
          </w14:textFill>
        </w:rPr>
      </w:pPr>
      <w:bookmarkStart w:id="190" w:name="_Toc100052398"/>
      <w:r>
        <w:rPr>
          <w:rFonts w:hint="eastAsia" w:ascii="宋体" w:hAnsi="宋体" w:cs="宋体"/>
          <w:color w:val="000000" w:themeColor="text1"/>
          <w:sz w:val="22"/>
          <w:szCs w:val="22"/>
          <w:highlight w:val="none"/>
          <w14:textFill>
            <w14:solidFill>
              <w14:schemeClr w14:val="tx1"/>
            </w14:solidFill>
          </w14:textFill>
        </w:rPr>
        <w:t>投标文件初审</w:t>
      </w:r>
      <w:bookmarkEnd w:id="186"/>
      <w:bookmarkEnd w:id="187"/>
      <w:bookmarkEnd w:id="188"/>
      <w:bookmarkEnd w:id="189"/>
      <w:bookmarkEnd w:id="190"/>
    </w:p>
    <w:p w14:paraId="1E812CA1">
      <w:pPr>
        <w:numPr>
          <w:ilvl w:val="1"/>
          <w:numId w:val="12"/>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投标文件初审即符合性检查。符合性检查：依据采购文件的规定，从投标文件的有效性、完整性和对采购文件的响应程度进行审查，以确定是否对采购文件的实质性要求作出响应。</w:t>
      </w:r>
    </w:p>
    <w:p w14:paraId="0CBECD0F">
      <w:pPr>
        <w:numPr>
          <w:ilvl w:val="1"/>
          <w:numId w:val="12"/>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投标文件初审内容请详见“关键信息”中的《投标文件初审表》部分。投标人若有一条审查不通过则按废标处理。评审委员会对投标单位打√为通过审查，打×为未通过审查。</w:t>
      </w:r>
    </w:p>
    <w:p w14:paraId="0606D251">
      <w:pPr>
        <w:numPr>
          <w:ilvl w:val="1"/>
          <w:numId w:val="12"/>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投标文件初审中关于供应商家数的计算。使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标委员会按照采购文件规定的方式确定一个投标人获得中标人推荐资格，采购文件未规定的采取随机抽取方式确定，其他同品牌投标人不作为中标候选人。公开招标以外</w:t>
      </w:r>
      <w:r>
        <w:rPr>
          <w:rFonts w:hint="default" w:ascii="宋体" w:hAnsi="宋体" w:cs="宋体"/>
          <w:color w:val="000000" w:themeColor="text1"/>
          <w:sz w:val="22"/>
          <w:szCs w:val="22"/>
          <w:highlight w:val="none"/>
          <w14:textFill>
            <w14:solidFill>
              <w14:schemeClr w14:val="tx1"/>
            </w14:solidFill>
          </w14:textFill>
        </w:rPr>
        <w:t>采购人</w:t>
      </w:r>
      <w:r>
        <w:rPr>
          <w:rFonts w:hint="eastAsia" w:ascii="宋体" w:hAnsi="宋体" w:cs="宋体"/>
          <w:color w:val="000000" w:themeColor="text1"/>
          <w:sz w:val="22"/>
          <w:szCs w:val="22"/>
          <w:highlight w:val="none"/>
          <w14:textFill>
            <w14:solidFill>
              <w14:schemeClr w14:val="tx1"/>
            </w14:solidFill>
          </w14:textFill>
        </w:rPr>
        <w:t>式以及政府采购服务和工程涉及采购货物的项目，也按此方法计算供应商家数。</w:t>
      </w:r>
    </w:p>
    <w:p w14:paraId="23769661">
      <w:pPr>
        <w:numPr>
          <w:ilvl w:val="1"/>
          <w:numId w:val="12"/>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对不属于投标文件初审表所列的其他情形，除法律法规另有规定外，不得作为废标的理由。</w:t>
      </w:r>
    </w:p>
    <w:p w14:paraId="5436CDC0">
      <w:pPr>
        <w:ind w:left="907"/>
        <w:rPr>
          <w:rFonts w:ascii="宋体" w:hAnsi="宋体" w:cs="宋体"/>
          <w:color w:val="000000" w:themeColor="text1"/>
          <w:sz w:val="22"/>
          <w:szCs w:val="22"/>
          <w:highlight w:val="none"/>
          <w14:textFill>
            <w14:solidFill>
              <w14:schemeClr w14:val="tx1"/>
            </w14:solidFill>
          </w14:textFill>
        </w:rPr>
      </w:pPr>
    </w:p>
    <w:p w14:paraId="4DC1CF14">
      <w:pPr>
        <w:numPr>
          <w:ilvl w:val="0"/>
          <w:numId w:val="11"/>
        </w:numPr>
        <w:ind w:left="950" w:hanging="950" w:hangingChars="432"/>
        <w:rPr>
          <w:rFonts w:ascii="宋体" w:hAnsi="宋体" w:cs="宋体"/>
          <w:color w:val="000000" w:themeColor="text1"/>
          <w:sz w:val="22"/>
          <w:szCs w:val="22"/>
          <w:highlight w:val="none"/>
          <w14:textFill>
            <w14:solidFill>
              <w14:schemeClr w14:val="tx1"/>
            </w14:solidFill>
          </w14:textFill>
        </w:rPr>
      </w:pPr>
      <w:bookmarkStart w:id="191" w:name="_Toc100052399"/>
      <w:r>
        <w:rPr>
          <w:rFonts w:hint="eastAsia" w:ascii="宋体" w:hAnsi="宋体" w:cs="宋体"/>
          <w:color w:val="000000" w:themeColor="text1"/>
          <w:sz w:val="22"/>
          <w:szCs w:val="22"/>
          <w:highlight w:val="none"/>
          <w14:textFill>
            <w14:solidFill>
              <w14:schemeClr w14:val="tx1"/>
            </w14:solidFill>
          </w14:textFill>
        </w:rPr>
        <w:t>澄清有关问题</w:t>
      </w:r>
      <w:bookmarkEnd w:id="191"/>
    </w:p>
    <w:p w14:paraId="377DAFAF">
      <w:pPr>
        <w:numPr>
          <w:ilvl w:val="1"/>
          <w:numId w:val="12"/>
        </w:numPr>
        <w:ind w:left="950" w:hanging="950" w:hangingChars="432"/>
        <w:rPr>
          <w:rFonts w:ascii="宋体" w:hAnsi="宋体" w:cs="宋体"/>
          <w:color w:val="000000" w:themeColor="text1"/>
          <w:sz w:val="22"/>
          <w:szCs w:val="22"/>
          <w:highlight w:val="none"/>
          <w14:textFill>
            <w14:solidFill>
              <w14:schemeClr w14:val="tx1"/>
            </w14:solidFill>
          </w14:textFill>
        </w:rPr>
      </w:pPr>
      <w:bookmarkStart w:id="192" w:name="bt投标文件的澄清"/>
      <w:bookmarkEnd w:id="192"/>
      <w:bookmarkStart w:id="193" w:name="bt投标文件的评估和比较"/>
      <w:bookmarkEnd w:id="193"/>
      <w:bookmarkStart w:id="194" w:name="bt废标"/>
      <w:bookmarkEnd w:id="194"/>
      <w:bookmarkStart w:id="195" w:name="_Toc73518153"/>
      <w:bookmarkStart w:id="196" w:name="_Toc73521583"/>
      <w:bookmarkStart w:id="197" w:name="_Toc73517675"/>
      <w:bookmarkStart w:id="198" w:name="_Toc73521671"/>
      <w:r>
        <w:rPr>
          <w:rFonts w:hint="eastAsia" w:ascii="宋体" w:hAnsi="宋体" w:cs="宋体"/>
          <w:color w:val="000000" w:themeColor="text1"/>
          <w:sz w:val="22"/>
          <w:szCs w:val="22"/>
          <w:highlight w:val="none"/>
          <w14:textFill>
            <w14:solidFill>
              <w14:schemeClr w14:val="tx1"/>
            </w14:solidFill>
          </w14:textFill>
        </w:rPr>
        <w:t>为了有助于投标文件的审查、评价和比较，对投标文件含义不明确、同类问题表述不一致或者有明显文字和计算错误的内容，评审委员会可以用书面形式(应当由评审委员会签字)要求投标供应商作出必要的澄清、说明或者纠正。投标人的澄清、说明或者补正应当用采用书面形式（由其授权的代表签字），并不得超出投标文件的范围或者改变投标文件的实质性的内容。根据本通用条款第34条，凡属于评审委员会在评标中发现的算术错误进行核实的修改不在此列。</w:t>
      </w:r>
    </w:p>
    <w:p w14:paraId="35042D80">
      <w:pPr>
        <w:ind w:left="907"/>
        <w:rPr>
          <w:rFonts w:ascii="宋体" w:hAnsi="宋体" w:cs="宋体"/>
          <w:color w:val="000000" w:themeColor="text1"/>
          <w:sz w:val="22"/>
          <w:szCs w:val="22"/>
          <w:highlight w:val="none"/>
          <w14:textFill>
            <w14:solidFill>
              <w14:schemeClr w14:val="tx1"/>
            </w14:solidFill>
          </w14:textFill>
        </w:rPr>
      </w:pPr>
    </w:p>
    <w:p w14:paraId="41AEBD6B">
      <w:pPr>
        <w:numPr>
          <w:ilvl w:val="0"/>
          <w:numId w:val="11"/>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错误的修正</w:t>
      </w:r>
    </w:p>
    <w:p w14:paraId="20EF9641">
      <w:pPr>
        <w:numPr>
          <w:ilvl w:val="1"/>
          <w:numId w:val="12"/>
        </w:numPr>
        <w:ind w:left="969" w:hanging="954" w:hangingChars="432"/>
        <w:rPr>
          <w:rFonts w:ascii="宋体" w:hAnsi="宋体" w:cs="宋体"/>
          <w:b/>
          <w:bCs/>
          <w:color w:val="000000" w:themeColor="text1"/>
          <w:sz w:val="22"/>
          <w:szCs w:val="22"/>
          <w:highlight w:val="none"/>
          <w14:textFill>
            <w14:solidFill>
              <w14:schemeClr w14:val="tx1"/>
            </w14:solidFill>
          </w14:textFill>
        </w:rPr>
      </w:pPr>
      <w:r>
        <w:rPr>
          <w:rFonts w:hint="eastAsia" w:ascii="宋体" w:hAnsi="宋体" w:cs="宋体"/>
          <w:b/>
          <w:bCs/>
          <w:color w:val="000000" w:themeColor="text1"/>
          <w:sz w:val="22"/>
          <w:szCs w:val="22"/>
          <w:highlight w:val="none"/>
          <w14:textFill>
            <w14:solidFill>
              <w14:schemeClr w14:val="tx1"/>
            </w14:solidFill>
          </w14:textFill>
        </w:rPr>
        <w:t xml:space="preserve">（一）投标文件中开标一览表（报价表）内容与投标文件中相应内容不一致的，以开标一览表（报价表）为准； </w:t>
      </w:r>
    </w:p>
    <w:p w14:paraId="4F8313E3">
      <w:pPr>
        <w:numPr>
          <w:ilvl w:val="1"/>
          <w:numId w:val="12"/>
        </w:numPr>
        <w:ind w:left="969" w:hanging="954" w:hangingChars="432"/>
        <w:rPr>
          <w:rFonts w:ascii="宋体" w:hAnsi="宋体" w:cs="宋体"/>
          <w:b/>
          <w:bCs/>
          <w:color w:val="000000" w:themeColor="text1"/>
          <w:sz w:val="22"/>
          <w:szCs w:val="22"/>
          <w:highlight w:val="none"/>
          <w14:textFill>
            <w14:solidFill>
              <w14:schemeClr w14:val="tx1"/>
            </w14:solidFill>
          </w14:textFill>
        </w:rPr>
      </w:pPr>
      <w:r>
        <w:rPr>
          <w:rFonts w:hint="eastAsia" w:ascii="宋体" w:hAnsi="宋体" w:cs="宋体"/>
          <w:b/>
          <w:bCs/>
          <w:color w:val="000000" w:themeColor="text1"/>
          <w:sz w:val="22"/>
          <w:szCs w:val="22"/>
          <w:highlight w:val="none"/>
          <w14:textFill>
            <w14:solidFill>
              <w14:schemeClr w14:val="tx1"/>
            </w14:solidFill>
          </w14:textFill>
        </w:rPr>
        <w:t xml:space="preserve">（二）大写金额和小写金额不一致的，以大写金额为准； </w:t>
      </w:r>
    </w:p>
    <w:p w14:paraId="43D67B8B">
      <w:pPr>
        <w:numPr>
          <w:ilvl w:val="1"/>
          <w:numId w:val="12"/>
        </w:numPr>
        <w:ind w:left="969" w:hanging="954" w:hangingChars="432"/>
        <w:rPr>
          <w:rFonts w:ascii="宋体" w:hAnsi="宋体" w:cs="宋体"/>
          <w:b/>
          <w:bCs/>
          <w:color w:val="000000" w:themeColor="text1"/>
          <w:sz w:val="22"/>
          <w:szCs w:val="22"/>
          <w:highlight w:val="none"/>
          <w14:textFill>
            <w14:solidFill>
              <w14:schemeClr w14:val="tx1"/>
            </w14:solidFill>
          </w14:textFill>
        </w:rPr>
      </w:pPr>
      <w:r>
        <w:rPr>
          <w:rFonts w:hint="eastAsia" w:ascii="宋体" w:hAnsi="宋体" w:cs="宋体"/>
          <w:b/>
          <w:bCs/>
          <w:color w:val="000000" w:themeColor="text1"/>
          <w:sz w:val="22"/>
          <w:szCs w:val="22"/>
          <w:highlight w:val="none"/>
          <w14:textFill>
            <w14:solidFill>
              <w14:schemeClr w14:val="tx1"/>
            </w14:solidFill>
          </w14:textFill>
        </w:rPr>
        <w:t xml:space="preserve">（三）单价金额小数点或者百分比有明显错位的，以开标一览表的总价为准，并修改单价； </w:t>
      </w:r>
    </w:p>
    <w:p w14:paraId="657CFA79">
      <w:pPr>
        <w:numPr>
          <w:ilvl w:val="1"/>
          <w:numId w:val="12"/>
        </w:numPr>
        <w:ind w:left="969" w:hanging="954" w:hangingChars="432"/>
        <w:rPr>
          <w:rFonts w:ascii="宋体" w:hAnsi="宋体" w:cs="宋体"/>
          <w:b/>
          <w:bCs/>
          <w:color w:val="000000" w:themeColor="text1"/>
          <w:sz w:val="22"/>
          <w:szCs w:val="22"/>
          <w:highlight w:val="none"/>
          <w14:textFill>
            <w14:solidFill>
              <w14:schemeClr w14:val="tx1"/>
            </w14:solidFill>
          </w14:textFill>
        </w:rPr>
      </w:pPr>
      <w:r>
        <w:rPr>
          <w:rFonts w:hint="eastAsia" w:ascii="宋体" w:hAnsi="宋体" w:cs="宋体"/>
          <w:b/>
          <w:bCs/>
          <w:color w:val="000000" w:themeColor="text1"/>
          <w:sz w:val="22"/>
          <w:szCs w:val="22"/>
          <w:highlight w:val="none"/>
          <w14:textFill>
            <w14:solidFill>
              <w14:schemeClr w14:val="tx1"/>
            </w14:solidFill>
          </w14:textFill>
        </w:rPr>
        <w:t xml:space="preserve">（四）总价金额与按单价汇总金额不一致的，以单价金额计算结果为准。 </w:t>
      </w:r>
    </w:p>
    <w:p w14:paraId="32D3771A">
      <w:pPr>
        <w:numPr>
          <w:ilvl w:val="1"/>
          <w:numId w:val="12"/>
        </w:numPr>
        <w:ind w:left="969" w:hanging="954"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b/>
          <w:bCs/>
          <w:color w:val="000000" w:themeColor="text1"/>
          <w:sz w:val="22"/>
          <w:szCs w:val="22"/>
          <w:highlight w:val="none"/>
          <w14:textFill>
            <w14:solidFill>
              <w14:schemeClr w14:val="tx1"/>
            </w14:solidFill>
          </w14:textFill>
        </w:rPr>
        <w:t>同时出现两种以上不一致的，按照前款规定的顺序修正。修正后的报价由评标委员会以澄清方式经投标人确认后产生约束力，投标人不确认的，其投标无效。</w:t>
      </w:r>
    </w:p>
    <w:p w14:paraId="5361099F">
      <w:pPr>
        <w:numPr>
          <w:ilvl w:val="0"/>
          <w:numId w:val="11"/>
        </w:numPr>
        <w:ind w:left="950" w:hanging="950" w:hangingChars="432"/>
        <w:rPr>
          <w:rFonts w:ascii="宋体" w:hAnsi="宋体" w:cs="宋体"/>
          <w:color w:val="000000" w:themeColor="text1"/>
          <w:sz w:val="22"/>
          <w:szCs w:val="22"/>
          <w:highlight w:val="none"/>
          <w14:textFill>
            <w14:solidFill>
              <w14:schemeClr w14:val="tx1"/>
            </w14:solidFill>
          </w14:textFill>
        </w:rPr>
      </w:pPr>
      <w:bookmarkStart w:id="199" w:name="_Toc100052401"/>
      <w:r>
        <w:rPr>
          <w:rFonts w:hint="eastAsia" w:ascii="宋体" w:hAnsi="宋体" w:cs="宋体"/>
          <w:color w:val="000000" w:themeColor="text1"/>
          <w:sz w:val="22"/>
          <w:szCs w:val="22"/>
          <w:highlight w:val="none"/>
          <w14:textFill>
            <w14:solidFill>
              <w14:schemeClr w14:val="tx1"/>
            </w14:solidFill>
          </w14:textFill>
        </w:rPr>
        <w:t>投标文件的</w:t>
      </w:r>
      <w:bookmarkEnd w:id="195"/>
      <w:bookmarkEnd w:id="196"/>
      <w:bookmarkEnd w:id="197"/>
      <w:bookmarkEnd w:id="198"/>
      <w:r>
        <w:rPr>
          <w:rFonts w:hint="eastAsia" w:ascii="宋体" w:hAnsi="宋体" w:cs="宋体"/>
          <w:color w:val="000000" w:themeColor="text1"/>
          <w:sz w:val="22"/>
          <w:szCs w:val="22"/>
          <w:highlight w:val="none"/>
          <w14:textFill>
            <w14:solidFill>
              <w14:schemeClr w14:val="tx1"/>
            </w14:solidFill>
          </w14:textFill>
        </w:rPr>
        <w:t>比较与评价</w:t>
      </w:r>
      <w:bookmarkEnd w:id="199"/>
    </w:p>
    <w:p w14:paraId="1C2F63B3">
      <w:pPr>
        <w:numPr>
          <w:ilvl w:val="1"/>
          <w:numId w:val="12"/>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评审委员会将按照《深圳经济特区政府采购条例》及《政府采购货物和服务招标投标管理办法（财政部令第87号）》，参照相关法律、法规、规定，仅对通过资格性审查和符合性审查的投标文件进行综合比较与评价。</w:t>
      </w:r>
    </w:p>
    <w:p w14:paraId="0730A3FE">
      <w:pPr>
        <w:ind w:left="907"/>
        <w:rPr>
          <w:rFonts w:ascii="宋体" w:hAnsi="宋体" w:cs="宋体"/>
          <w:color w:val="000000" w:themeColor="text1"/>
          <w:sz w:val="22"/>
          <w:szCs w:val="22"/>
          <w:highlight w:val="none"/>
          <w14:textFill>
            <w14:solidFill>
              <w14:schemeClr w14:val="tx1"/>
            </w14:solidFill>
          </w14:textFill>
        </w:rPr>
      </w:pPr>
    </w:p>
    <w:p w14:paraId="2AEE21C4">
      <w:pPr>
        <w:numPr>
          <w:ilvl w:val="0"/>
          <w:numId w:val="11"/>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实地考察、演示或设备测试</w:t>
      </w:r>
    </w:p>
    <w:p w14:paraId="0F3A03AC">
      <w:pPr>
        <w:numPr>
          <w:ilvl w:val="1"/>
          <w:numId w:val="12"/>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在招标过程中，评审委员会有权决定是否对本项目投标人进行现场勘察或实地考察或检验有关证明材料的原件。投标人应随时做好接受检查的准备。</w:t>
      </w:r>
    </w:p>
    <w:p w14:paraId="08DF36EA">
      <w:pPr>
        <w:numPr>
          <w:ilvl w:val="1"/>
          <w:numId w:val="12"/>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若采购文件要求进行现场演示或设备测试的，投标人应做好相应准备。</w:t>
      </w:r>
    </w:p>
    <w:p w14:paraId="5337FE5A">
      <w:pPr>
        <w:ind w:left="907"/>
        <w:rPr>
          <w:rFonts w:ascii="宋体" w:hAnsi="宋体" w:cs="宋体"/>
          <w:color w:val="000000" w:themeColor="text1"/>
          <w:sz w:val="22"/>
          <w:szCs w:val="22"/>
          <w:highlight w:val="none"/>
          <w14:textFill>
            <w14:solidFill>
              <w14:schemeClr w14:val="tx1"/>
            </w14:solidFill>
          </w14:textFill>
        </w:rPr>
      </w:pPr>
    </w:p>
    <w:p w14:paraId="6D39F8B2">
      <w:pPr>
        <w:numPr>
          <w:ilvl w:val="0"/>
          <w:numId w:val="11"/>
        </w:numPr>
        <w:ind w:left="950" w:hanging="950" w:hangingChars="432"/>
        <w:rPr>
          <w:rFonts w:ascii="宋体" w:hAnsi="宋体" w:cs="宋体"/>
          <w:color w:val="000000" w:themeColor="text1"/>
          <w:sz w:val="22"/>
          <w:szCs w:val="22"/>
          <w:highlight w:val="none"/>
          <w14:textFill>
            <w14:solidFill>
              <w14:schemeClr w14:val="tx1"/>
            </w14:solidFill>
          </w14:textFill>
        </w:rPr>
      </w:pPr>
      <w:bookmarkStart w:id="200" w:name="_Toc100052402"/>
      <w:r>
        <w:rPr>
          <w:rFonts w:hint="eastAsia" w:ascii="宋体" w:hAnsi="宋体" w:cs="宋体"/>
          <w:color w:val="000000" w:themeColor="text1"/>
          <w:sz w:val="22"/>
          <w:szCs w:val="22"/>
          <w:highlight w:val="none"/>
          <w14:textFill>
            <w14:solidFill>
              <w14:schemeClr w14:val="tx1"/>
            </w14:solidFill>
          </w14:textFill>
        </w:rPr>
        <w:t>评标方法</w:t>
      </w:r>
      <w:bookmarkEnd w:id="200"/>
    </w:p>
    <w:p w14:paraId="0A07646C">
      <w:pPr>
        <w:numPr>
          <w:ilvl w:val="1"/>
          <w:numId w:val="12"/>
        </w:numPr>
        <w:ind w:left="950" w:hanging="950" w:hangingChars="432"/>
        <w:rPr>
          <w:rFonts w:ascii="宋体" w:hAnsi="宋体" w:cs="宋体"/>
          <w:color w:val="000000" w:themeColor="text1"/>
          <w:sz w:val="22"/>
          <w:szCs w:val="22"/>
          <w:highlight w:val="none"/>
          <w14:textFill>
            <w14:solidFill>
              <w14:schemeClr w14:val="tx1"/>
            </w14:solidFill>
          </w14:textFill>
        </w:rPr>
      </w:pPr>
      <w:bookmarkStart w:id="201" w:name="评标方法2"/>
      <w:r>
        <w:rPr>
          <w:rFonts w:hint="eastAsia" w:ascii="宋体" w:hAnsi="宋体" w:cs="宋体"/>
          <w:color w:val="000000" w:themeColor="text1"/>
          <w:sz w:val="22"/>
          <w:szCs w:val="22"/>
          <w:highlight w:val="none"/>
          <w14:textFill>
            <w14:solidFill>
              <w14:schemeClr w14:val="tx1"/>
            </w14:solidFill>
          </w14:textFill>
        </w:rPr>
        <w:t>最低价法</w:t>
      </w:r>
    </w:p>
    <w:p w14:paraId="42D86CF0">
      <w:pPr>
        <w:numPr>
          <w:ilvl w:val="2"/>
          <w:numId w:val="15"/>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最低价法是指以价格因素确定中标候选供应商的评标方法，即在满足采购文件实质性要求前提下，以报价最低的投标供应商作为中标候选供应商或中标供应商的评标方法；</w:t>
      </w:r>
    </w:p>
    <w:p w14:paraId="5CB8235B">
      <w:pPr>
        <w:numPr>
          <w:ilvl w:val="1"/>
          <w:numId w:val="12"/>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定性评审法</w:t>
      </w:r>
    </w:p>
    <w:p w14:paraId="4450E0BA">
      <w:pPr>
        <w:numPr>
          <w:ilvl w:val="2"/>
          <w:numId w:val="15"/>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定性评审法是指按照招标文件规定的各项因素进行技术商务定性评审，对各投标文件是否满足招标文件实质性要求提出意见，指出投标文件的优点、缺陷、问题以及签订合同前应注意和澄清的事项，并形成评审报告。所有递交的投标文件不被判定为废标或者无效标的投标人，均推荐为候选中标供应商。</w:t>
      </w:r>
    </w:p>
    <w:p w14:paraId="44AC507B">
      <w:pPr>
        <w:numPr>
          <w:ilvl w:val="1"/>
          <w:numId w:val="12"/>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综合评分法</w:t>
      </w:r>
      <w:bookmarkEnd w:id="201"/>
    </w:p>
    <w:p w14:paraId="488C8561">
      <w:pPr>
        <w:numPr>
          <w:ilvl w:val="2"/>
          <w:numId w:val="15"/>
        </w:numPr>
        <w:ind w:left="950" w:hanging="950" w:hangingChars="432"/>
        <w:rPr>
          <w:rFonts w:ascii="宋体" w:hAnsi="宋体" w:cs="宋体"/>
          <w:color w:val="000000" w:themeColor="text1"/>
          <w:sz w:val="22"/>
          <w:szCs w:val="22"/>
          <w:highlight w:val="none"/>
          <w14:textFill>
            <w14:solidFill>
              <w14:schemeClr w14:val="tx1"/>
            </w14:solidFill>
          </w14:textFill>
        </w:rPr>
      </w:pPr>
      <w:bookmarkStart w:id="202" w:name="评标方法3"/>
      <w:r>
        <w:rPr>
          <w:rFonts w:hint="eastAsia" w:ascii="宋体" w:hAnsi="宋体" w:cs="宋体"/>
          <w:color w:val="000000" w:themeColor="text1"/>
          <w:sz w:val="22"/>
          <w:szCs w:val="22"/>
          <w:highlight w:val="none"/>
          <w14:textFill>
            <w14:solidFill>
              <w14:schemeClr w14:val="tx1"/>
            </w14:solidFill>
          </w14:textFill>
        </w:rPr>
        <w:t>综合评分法是指在最大限度地满足采购文件实质性要求前提下，按照采购文件中规定的各项因素进行量化打分，以评标总得分最高的投标供应商作为中标候选供应商或中标供应商的评标方法。</w:t>
      </w:r>
    </w:p>
    <w:p w14:paraId="3B9D5B73">
      <w:pPr>
        <w:numPr>
          <w:ilvl w:val="1"/>
          <w:numId w:val="12"/>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以评定分离的项目按照《深圳市政府采购评标定标分离管理暂行办法》设置评标方法。</w:t>
      </w:r>
    </w:p>
    <w:p w14:paraId="32FB2EA7">
      <w:pPr>
        <w:numPr>
          <w:ilvl w:val="1"/>
          <w:numId w:val="12"/>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其他评标方法根据主管部门相关规定执行。</w:t>
      </w:r>
    </w:p>
    <w:p w14:paraId="277B663E">
      <w:pPr>
        <w:numPr>
          <w:ilvl w:val="1"/>
          <w:numId w:val="12"/>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本项目采用的评标方法</w:t>
      </w:r>
      <w:bookmarkEnd w:id="202"/>
      <w:r>
        <w:rPr>
          <w:rFonts w:hint="eastAsia" w:ascii="宋体" w:hAnsi="宋体" w:cs="宋体"/>
          <w:color w:val="000000" w:themeColor="text1"/>
          <w:sz w:val="22"/>
          <w:szCs w:val="22"/>
          <w:highlight w:val="none"/>
          <w14:textFill>
            <w14:solidFill>
              <w14:schemeClr w14:val="tx1"/>
            </w14:solidFill>
          </w14:textFill>
        </w:rPr>
        <w:t>详见采购文件关键信息的相关内容。</w:t>
      </w:r>
    </w:p>
    <w:p w14:paraId="6B6ABC48">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p>
    <w:p w14:paraId="5561E3FF">
      <w:pPr>
        <w:rPr>
          <w:color w:val="000000" w:themeColor="text1"/>
          <w:highlight w:val="none"/>
          <w14:textFill>
            <w14:solidFill>
              <w14:schemeClr w14:val="tx1"/>
            </w14:solidFill>
          </w14:textFill>
        </w:rPr>
      </w:pPr>
    </w:p>
    <w:p w14:paraId="54B9558B">
      <w:pPr>
        <w:rPr>
          <w:color w:val="000000" w:themeColor="text1"/>
          <w:highlight w:val="none"/>
          <w14:textFill>
            <w14:solidFill>
              <w14:schemeClr w14:val="tx1"/>
            </w14:solidFill>
          </w14:textFill>
        </w:rPr>
      </w:pPr>
    </w:p>
    <w:p w14:paraId="3D852D66">
      <w:pPr>
        <w:rPr>
          <w:color w:val="000000" w:themeColor="text1"/>
          <w:highlight w:val="none"/>
          <w14:textFill>
            <w14:solidFill>
              <w14:schemeClr w14:val="tx1"/>
            </w14:solidFill>
          </w14:textFill>
        </w:rPr>
      </w:pPr>
    </w:p>
    <w:p w14:paraId="03649029">
      <w:pPr>
        <w:rPr>
          <w:color w:val="000000" w:themeColor="text1"/>
          <w:highlight w:val="none"/>
          <w14:textFill>
            <w14:solidFill>
              <w14:schemeClr w14:val="tx1"/>
            </w14:solidFill>
          </w14:textFill>
        </w:rPr>
      </w:pPr>
    </w:p>
    <w:p w14:paraId="51DDF6A4">
      <w:pPr>
        <w:rPr>
          <w:color w:val="000000" w:themeColor="text1"/>
          <w:highlight w:val="none"/>
          <w14:textFill>
            <w14:solidFill>
              <w14:schemeClr w14:val="tx1"/>
            </w14:solidFill>
          </w14:textFill>
        </w:rPr>
      </w:pPr>
    </w:p>
    <w:p w14:paraId="1C120FD9">
      <w:pPr>
        <w:rPr>
          <w:color w:val="000000" w:themeColor="text1"/>
          <w:highlight w:val="none"/>
          <w14:textFill>
            <w14:solidFill>
              <w14:schemeClr w14:val="tx1"/>
            </w14:solidFill>
          </w14:textFill>
        </w:rPr>
      </w:pPr>
    </w:p>
    <w:p w14:paraId="53648592">
      <w:pPr>
        <w:rPr>
          <w:color w:val="000000" w:themeColor="text1"/>
          <w:highlight w:val="none"/>
          <w14:textFill>
            <w14:solidFill>
              <w14:schemeClr w14:val="tx1"/>
            </w14:solidFill>
          </w14:textFill>
        </w:rPr>
      </w:pPr>
    </w:p>
    <w:p w14:paraId="1D6038B4">
      <w:pPr>
        <w:rPr>
          <w:color w:val="000000" w:themeColor="text1"/>
          <w:highlight w:val="none"/>
          <w14:textFill>
            <w14:solidFill>
              <w14:schemeClr w14:val="tx1"/>
            </w14:solidFill>
          </w14:textFill>
        </w:rPr>
      </w:pPr>
    </w:p>
    <w:p w14:paraId="707D6FA9">
      <w:pPr>
        <w:rPr>
          <w:color w:val="000000" w:themeColor="text1"/>
          <w:highlight w:val="none"/>
          <w14:textFill>
            <w14:solidFill>
              <w14:schemeClr w14:val="tx1"/>
            </w14:solidFill>
          </w14:textFill>
        </w:rPr>
      </w:pPr>
    </w:p>
    <w:p w14:paraId="786BDE9C">
      <w:pPr>
        <w:rPr>
          <w:color w:val="000000" w:themeColor="text1"/>
          <w:highlight w:val="none"/>
          <w14:textFill>
            <w14:solidFill>
              <w14:schemeClr w14:val="tx1"/>
            </w14:solidFill>
          </w14:textFill>
        </w:rPr>
      </w:pPr>
    </w:p>
    <w:p w14:paraId="79C90DD4">
      <w:pPr>
        <w:rPr>
          <w:color w:val="000000" w:themeColor="text1"/>
          <w:highlight w:val="none"/>
          <w14:textFill>
            <w14:solidFill>
              <w14:schemeClr w14:val="tx1"/>
            </w14:solidFill>
          </w14:textFill>
        </w:rPr>
      </w:pPr>
    </w:p>
    <w:p w14:paraId="3AABCF4B">
      <w:pPr>
        <w:rPr>
          <w:color w:val="000000" w:themeColor="text1"/>
          <w:highlight w:val="none"/>
          <w14:textFill>
            <w14:solidFill>
              <w14:schemeClr w14:val="tx1"/>
            </w14:solidFill>
          </w14:textFill>
        </w:rPr>
      </w:pPr>
    </w:p>
    <w:p w14:paraId="456B3BD0">
      <w:pPr>
        <w:rPr>
          <w:color w:val="000000" w:themeColor="text1"/>
          <w:highlight w:val="none"/>
          <w14:textFill>
            <w14:solidFill>
              <w14:schemeClr w14:val="tx1"/>
            </w14:solidFill>
          </w14:textFill>
        </w:rPr>
      </w:pPr>
    </w:p>
    <w:p w14:paraId="1F4D711D">
      <w:pPr>
        <w:rPr>
          <w:color w:val="000000" w:themeColor="text1"/>
          <w:highlight w:val="none"/>
          <w14:textFill>
            <w14:solidFill>
              <w14:schemeClr w14:val="tx1"/>
            </w14:solidFill>
          </w14:textFill>
        </w:rPr>
      </w:pPr>
    </w:p>
    <w:p w14:paraId="3B65DC6F">
      <w:pPr>
        <w:rPr>
          <w:color w:val="000000" w:themeColor="text1"/>
          <w:highlight w:val="none"/>
          <w14:textFill>
            <w14:solidFill>
              <w14:schemeClr w14:val="tx1"/>
            </w14:solidFill>
          </w14:textFill>
        </w:rPr>
      </w:pPr>
    </w:p>
    <w:p w14:paraId="58700BBC">
      <w:pPr>
        <w:pStyle w:val="3"/>
        <w:rPr>
          <w:color w:val="000000" w:themeColor="text1"/>
          <w:szCs w:val="28"/>
          <w:highlight w:val="none"/>
          <w14:textFill>
            <w14:solidFill>
              <w14:schemeClr w14:val="tx1"/>
            </w14:solidFill>
          </w14:textFill>
        </w:rPr>
      </w:pPr>
      <w:r>
        <w:rPr>
          <w:b w:val="0"/>
          <w:bCs/>
          <w:color w:val="000000" w:themeColor="text1"/>
          <w:kern w:val="28"/>
          <w:sz w:val="44"/>
          <w:szCs w:val="44"/>
          <w:highlight w:val="none"/>
          <w14:textFill>
            <w14:solidFill>
              <w14:schemeClr w14:val="tx1"/>
            </w14:solidFill>
          </w14:textFill>
        </w:rPr>
        <w:t>第八章  定标及公示</w:t>
      </w:r>
      <w:r>
        <w:rPr>
          <w:b w:val="0"/>
          <w:bCs/>
          <w:color w:val="000000" w:themeColor="text1"/>
          <w:kern w:val="28"/>
          <w:sz w:val="44"/>
          <w:szCs w:val="44"/>
          <w:highlight w:val="none"/>
          <w14:textFill>
            <w14:solidFill>
              <w14:schemeClr w14:val="tx1"/>
            </w14:solidFill>
          </w14:textFill>
        </w:rPr>
        <w:br w:type="page"/>
      </w:r>
    </w:p>
    <w:p w14:paraId="266804D9">
      <w:pPr>
        <w:rPr>
          <w:color w:val="000000" w:themeColor="text1"/>
          <w:highlight w:val="none"/>
          <w14:textFill>
            <w14:solidFill>
              <w14:schemeClr w14:val="tx1"/>
            </w14:solidFill>
          </w14:textFill>
        </w:rPr>
      </w:pPr>
    </w:p>
    <w:p w14:paraId="6D6F3F49">
      <w:pPr>
        <w:numPr>
          <w:ilvl w:val="0"/>
          <w:numId w:val="11"/>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定标方法</w:t>
      </w:r>
    </w:p>
    <w:p w14:paraId="15442EDC">
      <w:pPr>
        <w:numPr>
          <w:ilvl w:val="1"/>
          <w:numId w:val="12"/>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评审委员会依据本项目采购文件所约定的评标方法进行评审和比较，向政府采购代理机构提交书面评标报告，并根据评标方法比较评价结果从优到劣进行排序，并推荐中标候选人或确定中标供应商；</w:t>
      </w:r>
    </w:p>
    <w:p w14:paraId="028CE203">
      <w:pPr>
        <w:numPr>
          <w:ilvl w:val="1"/>
          <w:numId w:val="12"/>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采用最低评标价法的，按投标报价由低到高顺序排列，投标报价相同的，按技术指标优劣顺序排列。评审委员会认为，排在前面的供应商的最低投标报价或者某些分项报价明显不合理或者低于成本，有可能影响商品质量和不能诚信履约的，应当要求其在规定的期限内提供书面文件予以解释说明，并提交相关证明材料；否则，评审委员会可以取消该投标供应商的中标资格，按顺序由排在后面的供应商递补，以此类推。对是否满足实质性要求或报价是否合理或是否低于成本，评委会意见不一致时，按少数服从多数原则作出决定。</w:t>
      </w:r>
    </w:p>
    <w:p w14:paraId="5FC24D06">
      <w:pPr>
        <w:numPr>
          <w:ilvl w:val="1"/>
          <w:numId w:val="12"/>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采用综合评分法的，按评审后得分由高到低顺序排列。得分相同的，按投标报价由低到高顺序排列。得分且投标报价相同的，按技术指标优劣顺序排列。</w:t>
      </w:r>
    </w:p>
    <w:p w14:paraId="4E5762B3">
      <w:pPr>
        <w:numPr>
          <w:ilvl w:val="1"/>
          <w:numId w:val="12"/>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采用性价比法的，按商数得分由高到低顺序排列。商数得分相同的，按投标报价由低到高顺序排列。商数得分且投标报价相同的，按技术指标优劣顺序排列。</w:t>
      </w:r>
    </w:p>
    <w:p w14:paraId="41B8DE17">
      <w:pPr>
        <w:numPr>
          <w:ilvl w:val="1"/>
          <w:numId w:val="12"/>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本项目采用的定标方法详见采购文件关键信息的相关内容。</w:t>
      </w:r>
    </w:p>
    <w:p w14:paraId="7ED07DC7">
      <w:pPr>
        <w:ind w:left="907"/>
        <w:rPr>
          <w:rFonts w:ascii="宋体" w:hAnsi="宋体" w:cs="宋体"/>
          <w:color w:val="000000" w:themeColor="text1"/>
          <w:sz w:val="22"/>
          <w:szCs w:val="22"/>
          <w:highlight w:val="none"/>
          <w14:textFill>
            <w14:solidFill>
              <w14:schemeClr w14:val="tx1"/>
            </w14:solidFill>
          </w14:textFill>
        </w:rPr>
      </w:pPr>
    </w:p>
    <w:p w14:paraId="2BBD75D0">
      <w:pPr>
        <w:numPr>
          <w:ilvl w:val="0"/>
          <w:numId w:val="11"/>
        </w:numPr>
        <w:ind w:left="950" w:hanging="950" w:hangingChars="432"/>
        <w:rPr>
          <w:rFonts w:ascii="宋体" w:hAnsi="宋体" w:cs="宋体"/>
          <w:color w:val="000000" w:themeColor="text1"/>
          <w:sz w:val="22"/>
          <w:szCs w:val="22"/>
          <w:highlight w:val="none"/>
          <w14:textFill>
            <w14:solidFill>
              <w14:schemeClr w14:val="tx1"/>
            </w14:solidFill>
          </w14:textFill>
        </w:rPr>
      </w:pPr>
      <w:bookmarkStart w:id="203" w:name="_Toc100052404"/>
      <w:r>
        <w:rPr>
          <w:rFonts w:hint="eastAsia" w:ascii="宋体" w:hAnsi="宋体" w:cs="宋体"/>
          <w:color w:val="000000" w:themeColor="text1"/>
          <w:sz w:val="22"/>
          <w:szCs w:val="22"/>
          <w:highlight w:val="none"/>
          <w14:textFill>
            <w14:solidFill>
              <w14:schemeClr w14:val="tx1"/>
            </w14:solidFill>
          </w14:textFill>
        </w:rPr>
        <w:t>编写评标报告</w:t>
      </w:r>
      <w:bookmarkEnd w:id="203"/>
    </w:p>
    <w:p w14:paraId="45B4F69F">
      <w:pPr>
        <w:numPr>
          <w:ilvl w:val="1"/>
          <w:numId w:val="12"/>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评标报告是评审委员会根据全体评标成员签字的原始评标记录和评标结果编写的报告，评标报告由评审委员会全体成员签字。对评标结论持有异议的评审委员会成员可以书面方式阐述其不同意见和理由。评审委员会成员拒绝在评标报告上签字且不陈述其不同意见和理由的，视为同意评标结论。评审委员会应当对此作出书面说明并记录在案。</w:t>
      </w:r>
    </w:p>
    <w:p w14:paraId="224B2300">
      <w:pPr>
        <w:ind w:left="907"/>
        <w:rPr>
          <w:rFonts w:ascii="宋体" w:hAnsi="宋体" w:cs="宋体"/>
          <w:color w:val="000000" w:themeColor="text1"/>
          <w:sz w:val="22"/>
          <w:szCs w:val="22"/>
          <w:highlight w:val="none"/>
          <w14:textFill>
            <w14:solidFill>
              <w14:schemeClr w14:val="tx1"/>
            </w14:solidFill>
          </w14:textFill>
        </w:rPr>
      </w:pPr>
    </w:p>
    <w:p w14:paraId="3EF263BC">
      <w:pPr>
        <w:numPr>
          <w:ilvl w:val="0"/>
          <w:numId w:val="11"/>
        </w:numPr>
        <w:ind w:left="950" w:hanging="950" w:hangingChars="432"/>
        <w:rPr>
          <w:rFonts w:ascii="宋体" w:hAnsi="宋体" w:cs="宋体"/>
          <w:color w:val="000000" w:themeColor="text1"/>
          <w:sz w:val="22"/>
          <w:szCs w:val="22"/>
          <w:highlight w:val="none"/>
          <w14:textFill>
            <w14:solidFill>
              <w14:schemeClr w14:val="tx1"/>
            </w14:solidFill>
          </w14:textFill>
        </w:rPr>
      </w:pPr>
      <w:bookmarkStart w:id="204" w:name="_Toc100052405"/>
      <w:bookmarkStart w:id="205" w:name="_Toc73521588"/>
      <w:bookmarkStart w:id="206" w:name="_Toc73518159"/>
      <w:bookmarkStart w:id="207" w:name="_Toc73517681"/>
      <w:bookmarkStart w:id="208" w:name="_Toc73521676"/>
      <w:r>
        <w:rPr>
          <w:rFonts w:hint="eastAsia" w:ascii="宋体" w:hAnsi="宋体" w:cs="宋体"/>
          <w:color w:val="000000" w:themeColor="text1"/>
          <w:sz w:val="22"/>
          <w:szCs w:val="22"/>
          <w:highlight w:val="none"/>
          <w14:textFill>
            <w14:solidFill>
              <w14:schemeClr w14:val="tx1"/>
            </w14:solidFill>
          </w14:textFill>
        </w:rPr>
        <w:t>中标公告</w:t>
      </w:r>
      <w:bookmarkEnd w:id="204"/>
    </w:p>
    <w:p w14:paraId="61DCA58A">
      <w:pPr>
        <w:numPr>
          <w:ilvl w:val="1"/>
          <w:numId w:val="12"/>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为体现“公开、公平、公正”的原则，评标结束后，政府采购代理机构将在“深圳市东海国际招标有限公司官网(http：//www.szdhit.com)”及其他指定媒体上发布中标结果公告，公示期为三日。供应商如对评标结果有异议，请于公示期内，以书面或网上形式向采购代理机构反映。若在公示期内未提出异议，则视为认同该评标结果。</w:t>
      </w:r>
    </w:p>
    <w:p w14:paraId="7D9965E9">
      <w:pPr>
        <w:numPr>
          <w:ilvl w:val="1"/>
          <w:numId w:val="12"/>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质疑投诉人应保证质疑投诉内容的真实性和可靠性，并承担相应的法律责任。</w:t>
      </w:r>
    </w:p>
    <w:p w14:paraId="20D421DD">
      <w:pPr>
        <w:ind w:left="907"/>
        <w:rPr>
          <w:rFonts w:ascii="宋体" w:hAnsi="宋体" w:cs="宋体"/>
          <w:color w:val="000000" w:themeColor="text1"/>
          <w:sz w:val="22"/>
          <w:szCs w:val="22"/>
          <w:highlight w:val="none"/>
          <w14:textFill>
            <w14:solidFill>
              <w14:schemeClr w14:val="tx1"/>
            </w14:solidFill>
          </w14:textFill>
        </w:rPr>
      </w:pPr>
    </w:p>
    <w:p w14:paraId="2EAAEFC3">
      <w:pPr>
        <w:numPr>
          <w:ilvl w:val="0"/>
          <w:numId w:val="11"/>
        </w:numPr>
        <w:ind w:left="950" w:hanging="950" w:hangingChars="432"/>
        <w:rPr>
          <w:rFonts w:ascii="宋体" w:hAnsi="宋体" w:cs="宋体"/>
          <w:color w:val="000000" w:themeColor="text1"/>
          <w:sz w:val="22"/>
          <w:szCs w:val="22"/>
          <w:highlight w:val="none"/>
          <w14:textFill>
            <w14:solidFill>
              <w14:schemeClr w14:val="tx1"/>
            </w14:solidFill>
          </w14:textFill>
        </w:rPr>
      </w:pPr>
      <w:bookmarkStart w:id="209" w:name="_Toc100052406"/>
      <w:r>
        <w:rPr>
          <w:rFonts w:hint="eastAsia" w:ascii="宋体" w:hAnsi="宋体" w:cs="宋体"/>
          <w:color w:val="000000" w:themeColor="text1"/>
          <w:sz w:val="22"/>
          <w:szCs w:val="22"/>
          <w:highlight w:val="none"/>
          <w14:textFill>
            <w14:solidFill>
              <w14:schemeClr w14:val="tx1"/>
            </w14:solidFill>
          </w14:textFill>
        </w:rPr>
        <w:t>中标通知书</w:t>
      </w:r>
      <w:bookmarkEnd w:id="205"/>
      <w:bookmarkEnd w:id="206"/>
      <w:bookmarkEnd w:id="207"/>
      <w:bookmarkEnd w:id="208"/>
      <w:bookmarkEnd w:id="209"/>
    </w:p>
    <w:p w14:paraId="6915F3D5">
      <w:pPr>
        <w:numPr>
          <w:ilvl w:val="1"/>
          <w:numId w:val="12"/>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中标公告公布以后，公示期内无人质疑投诉，采购代理机构将向中标人发出《中标通知书》。中标人领取中标通知书前须缴纳服务费。</w:t>
      </w:r>
    </w:p>
    <w:p w14:paraId="172D6333">
      <w:pPr>
        <w:numPr>
          <w:ilvl w:val="1"/>
          <w:numId w:val="12"/>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中标通知书是合同的重要组成部分。</w:t>
      </w:r>
    </w:p>
    <w:p w14:paraId="391243E7">
      <w:pPr>
        <w:numPr>
          <w:ilvl w:val="1"/>
          <w:numId w:val="12"/>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因质疑投诉或其它原因导致项目结果变更或采购终止的，采购代理机构有权收回中标通知书或终止采购合同。</w:t>
      </w:r>
    </w:p>
    <w:p w14:paraId="1A94DA90">
      <w:pPr>
        <w:rPr>
          <w:color w:val="000000" w:themeColor="text1"/>
          <w:highlight w:val="none"/>
          <w14:textFill>
            <w14:solidFill>
              <w14:schemeClr w14:val="tx1"/>
            </w14:solidFill>
          </w14:textFill>
        </w:rPr>
      </w:pPr>
      <w:bookmarkStart w:id="210" w:name="bt合同的授予"/>
      <w:bookmarkEnd w:id="210"/>
      <w:bookmarkStart w:id="211" w:name="_Toc73518156"/>
      <w:bookmarkStart w:id="212" w:name="_Toc100052407"/>
      <w:bookmarkStart w:id="213" w:name="_Toc101074884"/>
      <w:bookmarkStart w:id="214" w:name="_Toc73517678"/>
    </w:p>
    <w:p w14:paraId="0A8214A6">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p>
    <w:p w14:paraId="70336793">
      <w:pPr>
        <w:rPr>
          <w:color w:val="000000" w:themeColor="text1"/>
          <w:highlight w:val="none"/>
          <w14:textFill>
            <w14:solidFill>
              <w14:schemeClr w14:val="tx1"/>
            </w14:solidFill>
          </w14:textFill>
        </w:rPr>
      </w:pPr>
    </w:p>
    <w:p w14:paraId="71B5123F">
      <w:pPr>
        <w:rPr>
          <w:color w:val="000000" w:themeColor="text1"/>
          <w:highlight w:val="none"/>
          <w14:textFill>
            <w14:solidFill>
              <w14:schemeClr w14:val="tx1"/>
            </w14:solidFill>
          </w14:textFill>
        </w:rPr>
      </w:pPr>
    </w:p>
    <w:p w14:paraId="37220D56">
      <w:pPr>
        <w:rPr>
          <w:color w:val="000000" w:themeColor="text1"/>
          <w:highlight w:val="none"/>
          <w14:textFill>
            <w14:solidFill>
              <w14:schemeClr w14:val="tx1"/>
            </w14:solidFill>
          </w14:textFill>
        </w:rPr>
      </w:pPr>
    </w:p>
    <w:p w14:paraId="243E9285">
      <w:pPr>
        <w:rPr>
          <w:color w:val="000000" w:themeColor="text1"/>
          <w:highlight w:val="none"/>
          <w14:textFill>
            <w14:solidFill>
              <w14:schemeClr w14:val="tx1"/>
            </w14:solidFill>
          </w14:textFill>
        </w:rPr>
      </w:pPr>
    </w:p>
    <w:p w14:paraId="337D3BA3">
      <w:pPr>
        <w:rPr>
          <w:color w:val="000000" w:themeColor="text1"/>
          <w:highlight w:val="none"/>
          <w14:textFill>
            <w14:solidFill>
              <w14:schemeClr w14:val="tx1"/>
            </w14:solidFill>
          </w14:textFill>
        </w:rPr>
      </w:pPr>
    </w:p>
    <w:p w14:paraId="2A6AED00">
      <w:pPr>
        <w:rPr>
          <w:color w:val="000000" w:themeColor="text1"/>
          <w:highlight w:val="none"/>
          <w14:textFill>
            <w14:solidFill>
              <w14:schemeClr w14:val="tx1"/>
            </w14:solidFill>
          </w14:textFill>
        </w:rPr>
      </w:pPr>
    </w:p>
    <w:p w14:paraId="6E501289">
      <w:pPr>
        <w:rPr>
          <w:color w:val="000000" w:themeColor="text1"/>
          <w:highlight w:val="none"/>
          <w14:textFill>
            <w14:solidFill>
              <w14:schemeClr w14:val="tx1"/>
            </w14:solidFill>
          </w14:textFill>
        </w:rPr>
      </w:pPr>
    </w:p>
    <w:p w14:paraId="77B3CB81">
      <w:pPr>
        <w:rPr>
          <w:color w:val="000000" w:themeColor="text1"/>
          <w:highlight w:val="none"/>
          <w14:textFill>
            <w14:solidFill>
              <w14:schemeClr w14:val="tx1"/>
            </w14:solidFill>
          </w14:textFill>
        </w:rPr>
      </w:pPr>
    </w:p>
    <w:p w14:paraId="25114270">
      <w:pPr>
        <w:rPr>
          <w:color w:val="000000" w:themeColor="text1"/>
          <w:highlight w:val="none"/>
          <w14:textFill>
            <w14:solidFill>
              <w14:schemeClr w14:val="tx1"/>
            </w14:solidFill>
          </w14:textFill>
        </w:rPr>
      </w:pPr>
    </w:p>
    <w:p w14:paraId="6F0D1510">
      <w:pPr>
        <w:rPr>
          <w:color w:val="000000" w:themeColor="text1"/>
          <w:highlight w:val="none"/>
          <w14:textFill>
            <w14:solidFill>
              <w14:schemeClr w14:val="tx1"/>
            </w14:solidFill>
          </w14:textFill>
        </w:rPr>
      </w:pPr>
    </w:p>
    <w:p w14:paraId="2C07C564">
      <w:pPr>
        <w:rPr>
          <w:color w:val="000000" w:themeColor="text1"/>
          <w:highlight w:val="none"/>
          <w14:textFill>
            <w14:solidFill>
              <w14:schemeClr w14:val="tx1"/>
            </w14:solidFill>
          </w14:textFill>
        </w:rPr>
      </w:pPr>
    </w:p>
    <w:p w14:paraId="1C022033">
      <w:pPr>
        <w:rPr>
          <w:color w:val="000000" w:themeColor="text1"/>
          <w:highlight w:val="none"/>
          <w14:textFill>
            <w14:solidFill>
              <w14:schemeClr w14:val="tx1"/>
            </w14:solidFill>
          </w14:textFill>
        </w:rPr>
      </w:pPr>
    </w:p>
    <w:p w14:paraId="11BE3251">
      <w:pPr>
        <w:rPr>
          <w:color w:val="000000" w:themeColor="text1"/>
          <w:highlight w:val="none"/>
          <w14:textFill>
            <w14:solidFill>
              <w14:schemeClr w14:val="tx1"/>
            </w14:solidFill>
          </w14:textFill>
        </w:rPr>
      </w:pPr>
    </w:p>
    <w:p w14:paraId="7ED143B0">
      <w:pPr>
        <w:rPr>
          <w:color w:val="000000" w:themeColor="text1"/>
          <w:highlight w:val="none"/>
          <w14:textFill>
            <w14:solidFill>
              <w14:schemeClr w14:val="tx1"/>
            </w14:solidFill>
          </w14:textFill>
        </w:rPr>
      </w:pPr>
    </w:p>
    <w:p w14:paraId="44F4123D">
      <w:pPr>
        <w:rPr>
          <w:color w:val="000000" w:themeColor="text1"/>
          <w:highlight w:val="none"/>
          <w14:textFill>
            <w14:solidFill>
              <w14:schemeClr w14:val="tx1"/>
            </w14:solidFill>
          </w14:textFill>
        </w:rPr>
      </w:pPr>
    </w:p>
    <w:p w14:paraId="51C91DF7">
      <w:pPr>
        <w:pStyle w:val="3"/>
        <w:rPr>
          <w:color w:val="000000" w:themeColor="text1"/>
          <w:szCs w:val="28"/>
          <w:highlight w:val="none"/>
          <w14:textFill>
            <w14:solidFill>
              <w14:schemeClr w14:val="tx1"/>
            </w14:solidFill>
          </w14:textFill>
        </w:rPr>
      </w:pPr>
      <w:r>
        <w:rPr>
          <w:b w:val="0"/>
          <w:bCs/>
          <w:color w:val="000000" w:themeColor="text1"/>
          <w:kern w:val="28"/>
          <w:sz w:val="44"/>
          <w:szCs w:val="44"/>
          <w:highlight w:val="none"/>
          <w14:textFill>
            <w14:solidFill>
              <w14:schemeClr w14:val="tx1"/>
            </w14:solidFill>
          </w14:textFill>
        </w:rPr>
        <w:t>第九章  公开招标失败的后续处理</w:t>
      </w:r>
      <w:r>
        <w:rPr>
          <w:b w:val="0"/>
          <w:bCs/>
          <w:color w:val="000000" w:themeColor="text1"/>
          <w:kern w:val="28"/>
          <w:sz w:val="44"/>
          <w:szCs w:val="44"/>
          <w:highlight w:val="none"/>
          <w14:textFill>
            <w14:solidFill>
              <w14:schemeClr w14:val="tx1"/>
            </w14:solidFill>
          </w14:textFill>
        </w:rPr>
        <w:br w:type="page"/>
      </w:r>
    </w:p>
    <w:p w14:paraId="1E6A64E5">
      <w:pPr>
        <w:rPr>
          <w:color w:val="000000" w:themeColor="text1"/>
          <w:highlight w:val="none"/>
          <w14:textFill>
            <w14:solidFill>
              <w14:schemeClr w14:val="tx1"/>
            </w14:solidFill>
          </w14:textFill>
        </w:rPr>
      </w:pPr>
    </w:p>
    <w:p w14:paraId="1930B60A">
      <w:pPr>
        <w:numPr>
          <w:ilvl w:val="0"/>
          <w:numId w:val="11"/>
        </w:numPr>
        <w:spacing w:line="360" w:lineRule="auto"/>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公开招标失败的处理</w:t>
      </w:r>
    </w:p>
    <w:p w14:paraId="042BED64">
      <w:pPr>
        <w:numPr>
          <w:ilvl w:val="1"/>
          <w:numId w:val="12"/>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本项目公开招标过程中若由于投标截止后实际递交投标文件的供应商数量不足、经评审委员会评审对采购文件作实质响应的供应商不足等原因造成公开招标失败，可由政府采购代理机构重新组织采购。</w:t>
      </w:r>
    </w:p>
    <w:p w14:paraId="67C7BAE5">
      <w:pPr>
        <w:numPr>
          <w:ilvl w:val="1"/>
          <w:numId w:val="12"/>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对公开招标失败的项目，评审委员会在出具该项目招标失败结论的同时，提出重新采购组织形式的建议，以及进一步完善采购文件的资格、技术、商务要求的修改建议。</w:t>
      </w:r>
    </w:p>
    <w:p w14:paraId="1C1EEF05">
      <w:pPr>
        <w:numPr>
          <w:ilvl w:val="1"/>
          <w:numId w:val="12"/>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重新组织采购有以下两种组织形式：</w:t>
      </w:r>
    </w:p>
    <w:p w14:paraId="1DCF3DAF">
      <w:pPr>
        <w:numPr>
          <w:ilvl w:val="2"/>
          <w:numId w:val="15"/>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由政府采购代理机构重新组织公开招标；</w:t>
      </w:r>
    </w:p>
    <w:p w14:paraId="217AEC58">
      <w:pPr>
        <w:numPr>
          <w:ilvl w:val="2"/>
          <w:numId w:val="15"/>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根据实际情况需要向政府采购监督管理部门提出非公开招标方式申请，经政府采购监督管理部门批准公开招标失败采购项目可转为竞争性谈判或单一来源谈判方式采购。</w:t>
      </w:r>
    </w:p>
    <w:p w14:paraId="5D79F73A">
      <w:pPr>
        <w:numPr>
          <w:ilvl w:val="1"/>
          <w:numId w:val="12"/>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公开招标失败的采购项目重新组织公开招标，政府采购代理机构要重新按公开招标流程发布采购公告和采购文件、组成评审委员会等组织采购活动。</w:t>
      </w:r>
    </w:p>
    <w:p w14:paraId="6BA8D9EF">
      <w:pPr>
        <w:numPr>
          <w:ilvl w:val="1"/>
          <w:numId w:val="12"/>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公开招标失败的采购项目经政府采购监督管理部门批准转为竞争性谈判或单一来源谈判方式采购的，可不另行制作谈判文件，政府采购代理机构可就原采购文件中资格、技术及评标方法等变动情况向拟谈判对象发出谈判邀请。谈判邀请文件与原采购文件具同等效力，变动部分以谈判邀请文件为准。转为竞争性谈判或单一来源谈判方式采购的，供应商的原投标文件转为谈判应答文件。</w:t>
      </w:r>
    </w:p>
    <w:p w14:paraId="633C6B79">
      <w:pPr>
        <w:ind w:left="907"/>
        <w:rPr>
          <w:rFonts w:ascii="宋体" w:hAnsi="宋体" w:cs="宋体"/>
          <w:color w:val="000000" w:themeColor="text1"/>
          <w:sz w:val="22"/>
          <w:szCs w:val="22"/>
          <w:highlight w:val="none"/>
          <w14:textFill>
            <w14:solidFill>
              <w14:schemeClr w14:val="tx1"/>
            </w14:solidFill>
          </w14:textFill>
        </w:rPr>
      </w:pPr>
    </w:p>
    <w:p w14:paraId="6070C9DE">
      <w:pPr>
        <w:numPr>
          <w:ilvl w:val="0"/>
          <w:numId w:val="11"/>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公开招标失败项目转为竞争性谈判方式采购的</w:t>
      </w:r>
    </w:p>
    <w:p w14:paraId="1557814F">
      <w:pPr>
        <w:numPr>
          <w:ilvl w:val="1"/>
          <w:numId w:val="12"/>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谈判文件</w:t>
      </w:r>
    </w:p>
    <w:p w14:paraId="5420DAA6">
      <w:pPr>
        <w:numPr>
          <w:ilvl w:val="2"/>
          <w:numId w:val="15"/>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公开招标失败项目转为竞争性谈判方式采购的，原采购文件转为谈判文件。</w:t>
      </w:r>
    </w:p>
    <w:p w14:paraId="16B084C6">
      <w:pPr>
        <w:numPr>
          <w:ilvl w:val="1"/>
          <w:numId w:val="12"/>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谈判小组</w:t>
      </w:r>
    </w:p>
    <w:p w14:paraId="53459FA9">
      <w:pPr>
        <w:numPr>
          <w:ilvl w:val="2"/>
          <w:numId w:val="15"/>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公开招标失败项目转为竞争性谈判方式采购后，评审委员会转为谈判小组；专家可重新抽取也可继续采用评审委员会内专家。</w:t>
      </w:r>
    </w:p>
    <w:p w14:paraId="5DB5A10C">
      <w:pPr>
        <w:numPr>
          <w:ilvl w:val="2"/>
          <w:numId w:val="15"/>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谈判前，谈判小组将对各供应商的谈判应答文件进行审查，当谈判应答文件出现下列情况之一的将视为无效，按废标处理，不得进入谈判，具体内容见原采购文件中投标文件初审表的《资格性审查表》部分以及谈判邀请中相应的变动部分。</w:t>
      </w:r>
    </w:p>
    <w:p w14:paraId="1B3F57D7">
      <w:pPr>
        <w:numPr>
          <w:ilvl w:val="1"/>
          <w:numId w:val="12"/>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谈判程序</w:t>
      </w:r>
    </w:p>
    <w:p w14:paraId="04AE401D">
      <w:pPr>
        <w:numPr>
          <w:ilvl w:val="2"/>
          <w:numId w:val="15"/>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参加谈判的供应商和谈判小组成员填写谈判登记表，并交验证明文件（法定代表人证明书、法人授权委托书、被授权的谈判代表身份证原件）。</w:t>
      </w:r>
    </w:p>
    <w:p w14:paraId="4316ECB4">
      <w:pPr>
        <w:numPr>
          <w:ilvl w:val="2"/>
          <w:numId w:val="15"/>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谈判小组主持人宣布谈判规则和谈判纪律。</w:t>
      </w:r>
    </w:p>
    <w:p w14:paraId="3B18185F">
      <w:pPr>
        <w:numPr>
          <w:ilvl w:val="2"/>
          <w:numId w:val="15"/>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在谈判中，谈判小组将就以下谈判内容跟供应商进行谈判：</w:t>
      </w:r>
    </w:p>
    <w:p w14:paraId="289353F3">
      <w:pPr>
        <w:ind w:left="907"/>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（1）项目方案；</w:t>
      </w:r>
    </w:p>
    <w:p w14:paraId="54E34D82">
      <w:pPr>
        <w:ind w:left="907"/>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（2）报价；</w:t>
      </w:r>
    </w:p>
    <w:p w14:paraId="644A8909">
      <w:pPr>
        <w:ind w:left="907"/>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（3）其它相关事项。</w:t>
      </w:r>
    </w:p>
    <w:p w14:paraId="1F1BFCB0">
      <w:pPr>
        <w:ind w:left="907"/>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原采购文件或谈判邀请文件有实质性变动的，谈判小组应当通过政府采购代理机构通知所有参加谈判的供应商。</w:t>
      </w:r>
    </w:p>
    <w:p w14:paraId="37BDA454">
      <w:pPr>
        <w:numPr>
          <w:ilvl w:val="2"/>
          <w:numId w:val="15"/>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谈判小组可以用书面形式要求各供应商对其谈判应答文件含义不明确的内容作必要的澄清或者说明，重要问题供应商应以书面形式进行澄清、说明。</w:t>
      </w:r>
    </w:p>
    <w:p w14:paraId="6FBC7902">
      <w:pPr>
        <w:numPr>
          <w:ilvl w:val="2"/>
          <w:numId w:val="15"/>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允许供应商在谈判结束之前根据谈判小组提出的内容进行澄清、修改或完善，或对项目方案进行相应的调整。</w:t>
      </w:r>
    </w:p>
    <w:p w14:paraId="4E438457">
      <w:pPr>
        <w:numPr>
          <w:ilvl w:val="2"/>
          <w:numId w:val="15"/>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供应商对谈判应答文件进行修改，都应形成文字材料，并经供应商谈判授权人签字认可。</w:t>
      </w:r>
    </w:p>
    <w:p w14:paraId="567F66AA">
      <w:pPr>
        <w:numPr>
          <w:ilvl w:val="2"/>
          <w:numId w:val="15"/>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谈判小组所有成员集中与单一供应商分别进行谈判。在谈判中，谈判的任何一方不得透露与谈判有关的其它供应商的技术资料、价格或者其他信息；参加谈判的供应商有两次更改机会；供应商应在规定的时间内提出最后更改及书面承诺。</w:t>
      </w:r>
    </w:p>
    <w:p w14:paraId="51BA084C">
      <w:pPr>
        <w:numPr>
          <w:ilvl w:val="2"/>
          <w:numId w:val="15"/>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有下列情形之一的，该供应商的谈判结果作废标处理，具体内容见原采购文件中投标文件初审表的《符合性审查表》部分以及谈判邀请中相应的变动部分。</w:t>
      </w:r>
    </w:p>
    <w:p w14:paraId="5D213FE2">
      <w:pPr>
        <w:numPr>
          <w:ilvl w:val="2"/>
          <w:numId w:val="15"/>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谈判结束后，谈判小组根据供应商提供的谈判应答文件、谈判过程中产生的相关资料，对供应商谈判应答文件进行评估与比较，提出书面评审意见。</w:t>
      </w:r>
    </w:p>
    <w:p w14:paraId="268A7D99">
      <w:pPr>
        <w:numPr>
          <w:ilvl w:val="2"/>
          <w:numId w:val="15"/>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谈判小组将对谈判过程进行记录，以存档备查。</w:t>
      </w:r>
    </w:p>
    <w:p w14:paraId="77531C07">
      <w:pPr>
        <w:numPr>
          <w:ilvl w:val="1"/>
          <w:numId w:val="12"/>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评标方法和定标原则</w:t>
      </w:r>
    </w:p>
    <w:p w14:paraId="23A1E299">
      <w:pPr>
        <w:numPr>
          <w:ilvl w:val="2"/>
          <w:numId w:val="15"/>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根据《政府采购货物和服务招标投标管理办法（财政部令第87号）》，竞争性谈判采购项目的评标方法要比照最低评标价法规定执行。如确因实际情况需要采用其他评标方法的，应报经同级政府采购监督管理部门批准。原采购文件若采用最低评标价法以外的评标方法，转为竞争性谈判后，评标方法应采用最低评标价法。</w:t>
      </w:r>
    </w:p>
    <w:p w14:paraId="36FCDD10">
      <w:pPr>
        <w:numPr>
          <w:ilvl w:val="2"/>
          <w:numId w:val="15"/>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对公开招标失败转为竞争性谈判方式采购的项目，谈判小组对谈判应答文件进行评审和比较，综合各家供应商最终的方案、服务和投资等谈判结果并按本通用条款第37.1.1款的最低评标价法进行评审。</w:t>
      </w:r>
    </w:p>
    <w:p w14:paraId="358C9DB5">
      <w:pPr>
        <w:numPr>
          <w:ilvl w:val="2"/>
          <w:numId w:val="15"/>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若要采用其他评标方法的，必须报经政府采购监督管理部门批准，谈判小组按批准的评标方法进行评审。谈判邀请文件中应注明批准的评标方法。</w:t>
      </w:r>
    </w:p>
    <w:p w14:paraId="122E490D">
      <w:pPr>
        <w:numPr>
          <w:ilvl w:val="2"/>
          <w:numId w:val="15"/>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谈判小组向政府采购代理机构提交书面评标报告，并推荐中标候选人或确定中标供应商。</w:t>
      </w:r>
    </w:p>
    <w:p w14:paraId="4F6C4710">
      <w:pPr>
        <w:ind w:left="907"/>
        <w:rPr>
          <w:rFonts w:ascii="宋体" w:hAnsi="宋体" w:cs="宋体"/>
          <w:color w:val="000000" w:themeColor="text1"/>
          <w:sz w:val="22"/>
          <w:szCs w:val="22"/>
          <w:highlight w:val="none"/>
          <w14:textFill>
            <w14:solidFill>
              <w14:schemeClr w14:val="tx1"/>
            </w14:solidFill>
          </w14:textFill>
        </w:rPr>
      </w:pPr>
    </w:p>
    <w:p w14:paraId="1975608C">
      <w:pPr>
        <w:numPr>
          <w:ilvl w:val="0"/>
          <w:numId w:val="11"/>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公开招标失败项目转为单一来源谈判方式采购</w:t>
      </w:r>
    </w:p>
    <w:p w14:paraId="33BE0B07">
      <w:pPr>
        <w:numPr>
          <w:ilvl w:val="1"/>
          <w:numId w:val="12"/>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谈判文件</w:t>
      </w:r>
    </w:p>
    <w:p w14:paraId="1A0D6C83">
      <w:pPr>
        <w:numPr>
          <w:ilvl w:val="2"/>
          <w:numId w:val="15"/>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公开招标失败项目转为单一来源谈判方式采购的，原采购文件转为谈判文件。</w:t>
      </w:r>
    </w:p>
    <w:p w14:paraId="026D982A">
      <w:pPr>
        <w:numPr>
          <w:ilvl w:val="1"/>
          <w:numId w:val="12"/>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谈判小组</w:t>
      </w:r>
    </w:p>
    <w:p w14:paraId="1F997B02">
      <w:pPr>
        <w:numPr>
          <w:ilvl w:val="2"/>
          <w:numId w:val="15"/>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公开招标失败项目转为单一来源谈判方式采购后，评审委员会转为谈判小组，专家可重新抽取也可继续采用评审委员会内专家。</w:t>
      </w:r>
    </w:p>
    <w:p w14:paraId="15565FFC">
      <w:pPr>
        <w:numPr>
          <w:ilvl w:val="2"/>
          <w:numId w:val="15"/>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谈判前，谈判小组将对单一来源供应商的谈判应答文件进行审查，当谈判应答文件出现下列情况之一的将视为无效，按废标处理，不得进入谈判，具体内容见原采购文件中投标文件初审表的《资格性审查表》部分以及谈判邀请中相应的变动部分。</w:t>
      </w:r>
    </w:p>
    <w:p w14:paraId="73D4826C">
      <w:pPr>
        <w:numPr>
          <w:ilvl w:val="1"/>
          <w:numId w:val="12"/>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谈判程序</w:t>
      </w:r>
    </w:p>
    <w:p w14:paraId="49E2662A">
      <w:pPr>
        <w:numPr>
          <w:ilvl w:val="2"/>
          <w:numId w:val="15"/>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参加谈判的供应商和谈判小组成员填写谈判登记表，并交验证明文件（法定代表人证明书、法人授权委托书、被授权的谈判代表身份证原件）。</w:t>
      </w:r>
    </w:p>
    <w:p w14:paraId="14F60356">
      <w:pPr>
        <w:numPr>
          <w:ilvl w:val="2"/>
          <w:numId w:val="15"/>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谈判小组主持人宣布谈判规则和谈判纪律。</w:t>
      </w:r>
    </w:p>
    <w:p w14:paraId="36A1C637">
      <w:pPr>
        <w:numPr>
          <w:ilvl w:val="2"/>
          <w:numId w:val="15"/>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在谈判中，谈判小组将就以下谈判内容跟供应商进行谈判：</w:t>
      </w:r>
    </w:p>
    <w:p w14:paraId="1596EDBA">
      <w:pPr>
        <w:ind w:left="907"/>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（1）项目方案；</w:t>
      </w:r>
    </w:p>
    <w:p w14:paraId="0D519269">
      <w:pPr>
        <w:ind w:left="907"/>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（2）报价；</w:t>
      </w:r>
    </w:p>
    <w:p w14:paraId="1B75C0BE">
      <w:pPr>
        <w:ind w:left="907"/>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（3）其它相关事项。</w:t>
      </w:r>
    </w:p>
    <w:p w14:paraId="4023424D">
      <w:pPr>
        <w:ind w:left="907"/>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原采购文件或谈判邀请文件有实质性变动的，谈判小组应当通过政府采购代理机构通知供应商。</w:t>
      </w:r>
    </w:p>
    <w:p w14:paraId="752FCDBA">
      <w:pPr>
        <w:numPr>
          <w:ilvl w:val="2"/>
          <w:numId w:val="15"/>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谈判小组可以用书面形式要求供应商对其谈判应答文件含义不明确的内容作必要的澄清或者说明，重要问题供应商应以书面形式进行澄清、说明。</w:t>
      </w:r>
    </w:p>
    <w:p w14:paraId="22CB09AB">
      <w:pPr>
        <w:numPr>
          <w:ilvl w:val="2"/>
          <w:numId w:val="15"/>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允许供应商在谈判结束之前根据谈判小组提出的内容进行澄清、修改或完善，或对项目方案进行相应的调整。</w:t>
      </w:r>
    </w:p>
    <w:p w14:paraId="4352182B">
      <w:pPr>
        <w:numPr>
          <w:ilvl w:val="2"/>
          <w:numId w:val="15"/>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供应商对谈判应答文件进行修改，都应形成文字材料，并经供应商谈判授权人签字认可。</w:t>
      </w:r>
    </w:p>
    <w:p w14:paraId="57260F80">
      <w:pPr>
        <w:numPr>
          <w:ilvl w:val="2"/>
          <w:numId w:val="15"/>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谈判小组与单一来源供应商进行谈判。供应商有两次更改机会；供应商应在规定的时间内提出最后更改及书面承诺。</w:t>
      </w:r>
    </w:p>
    <w:p w14:paraId="6CC7BB72">
      <w:pPr>
        <w:numPr>
          <w:ilvl w:val="2"/>
          <w:numId w:val="15"/>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有下列情形之一的，供应商的谈判结果作废标处理，具体内容见原采购文件中投标文件初审表的《符合性审查表》部分以及谈判邀请中相应的变动部分。</w:t>
      </w:r>
    </w:p>
    <w:p w14:paraId="1D4FB400">
      <w:pPr>
        <w:numPr>
          <w:ilvl w:val="2"/>
          <w:numId w:val="15"/>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谈判结束后，谈判小组根据供应商提供的谈判应答文件、谈判过程中产生的相关资料，对供应商谈判应答文件进行评估与比较，提出书面评审意见。</w:t>
      </w:r>
    </w:p>
    <w:p w14:paraId="762E2D11">
      <w:pPr>
        <w:numPr>
          <w:ilvl w:val="2"/>
          <w:numId w:val="15"/>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谈判小组将对谈判过程进行记录，以存档备查。</w:t>
      </w:r>
    </w:p>
    <w:p w14:paraId="1249CA5A">
      <w:pPr>
        <w:numPr>
          <w:ilvl w:val="1"/>
          <w:numId w:val="12"/>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评标方法和定标原则</w:t>
      </w:r>
    </w:p>
    <w:p w14:paraId="74129AC5">
      <w:pPr>
        <w:numPr>
          <w:ilvl w:val="2"/>
          <w:numId w:val="15"/>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单一来源谈判采用最低评标价法。原采购文件若采用最低评标价法以外的评标方法，转为单一来源谈判后，评标方法改为最低评标价法。谈判小组对谈判应答文件进行评审和比较，对供应商最终的方案、服务和投资等谈判结果按本通用条款第37.1.1的最低评标价法进行评审。</w:t>
      </w:r>
    </w:p>
    <w:p w14:paraId="53BD5BD8">
      <w:pPr>
        <w:numPr>
          <w:ilvl w:val="2"/>
          <w:numId w:val="15"/>
        </w:numP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谈判小组向政府采购代理机构提交书面评标报告，并推荐中标候选人或确定中标供应商。</w:t>
      </w:r>
      <w:bookmarkEnd w:id="211"/>
      <w:bookmarkEnd w:id="212"/>
      <w:bookmarkEnd w:id="213"/>
      <w:bookmarkEnd w:id="214"/>
    </w:p>
    <w:p w14:paraId="693F5AE3">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p>
    <w:p w14:paraId="72591F28">
      <w:pPr>
        <w:rPr>
          <w:color w:val="000000" w:themeColor="text1"/>
          <w:highlight w:val="none"/>
          <w14:textFill>
            <w14:solidFill>
              <w14:schemeClr w14:val="tx1"/>
            </w14:solidFill>
          </w14:textFill>
        </w:rPr>
      </w:pPr>
    </w:p>
    <w:p w14:paraId="405159B7">
      <w:pPr>
        <w:rPr>
          <w:color w:val="000000" w:themeColor="text1"/>
          <w:highlight w:val="none"/>
          <w14:textFill>
            <w14:solidFill>
              <w14:schemeClr w14:val="tx1"/>
            </w14:solidFill>
          </w14:textFill>
        </w:rPr>
      </w:pPr>
    </w:p>
    <w:p w14:paraId="53CB216F">
      <w:pPr>
        <w:rPr>
          <w:color w:val="000000" w:themeColor="text1"/>
          <w:highlight w:val="none"/>
          <w14:textFill>
            <w14:solidFill>
              <w14:schemeClr w14:val="tx1"/>
            </w14:solidFill>
          </w14:textFill>
        </w:rPr>
      </w:pPr>
    </w:p>
    <w:p w14:paraId="7F2BCA96">
      <w:pPr>
        <w:rPr>
          <w:color w:val="000000" w:themeColor="text1"/>
          <w:highlight w:val="none"/>
          <w14:textFill>
            <w14:solidFill>
              <w14:schemeClr w14:val="tx1"/>
            </w14:solidFill>
          </w14:textFill>
        </w:rPr>
      </w:pPr>
    </w:p>
    <w:p w14:paraId="51D2EA27">
      <w:pPr>
        <w:rPr>
          <w:color w:val="000000" w:themeColor="text1"/>
          <w:highlight w:val="none"/>
          <w14:textFill>
            <w14:solidFill>
              <w14:schemeClr w14:val="tx1"/>
            </w14:solidFill>
          </w14:textFill>
        </w:rPr>
      </w:pPr>
    </w:p>
    <w:p w14:paraId="01A70B9C">
      <w:pPr>
        <w:rPr>
          <w:color w:val="000000" w:themeColor="text1"/>
          <w:highlight w:val="none"/>
          <w14:textFill>
            <w14:solidFill>
              <w14:schemeClr w14:val="tx1"/>
            </w14:solidFill>
          </w14:textFill>
        </w:rPr>
      </w:pPr>
    </w:p>
    <w:p w14:paraId="3DC09223">
      <w:pPr>
        <w:rPr>
          <w:color w:val="000000" w:themeColor="text1"/>
          <w:highlight w:val="none"/>
          <w14:textFill>
            <w14:solidFill>
              <w14:schemeClr w14:val="tx1"/>
            </w14:solidFill>
          </w14:textFill>
        </w:rPr>
      </w:pPr>
    </w:p>
    <w:p w14:paraId="55D5DBE6">
      <w:pPr>
        <w:rPr>
          <w:color w:val="000000" w:themeColor="text1"/>
          <w:highlight w:val="none"/>
          <w14:textFill>
            <w14:solidFill>
              <w14:schemeClr w14:val="tx1"/>
            </w14:solidFill>
          </w14:textFill>
        </w:rPr>
      </w:pPr>
    </w:p>
    <w:p w14:paraId="6FAC0C1C">
      <w:pPr>
        <w:rPr>
          <w:color w:val="000000" w:themeColor="text1"/>
          <w:highlight w:val="none"/>
          <w14:textFill>
            <w14:solidFill>
              <w14:schemeClr w14:val="tx1"/>
            </w14:solidFill>
          </w14:textFill>
        </w:rPr>
      </w:pPr>
    </w:p>
    <w:p w14:paraId="7DB71E43">
      <w:pPr>
        <w:rPr>
          <w:color w:val="000000" w:themeColor="text1"/>
          <w:highlight w:val="none"/>
          <w14:textFill>
            <w14:solidFill>
              <w14:schemeClr w14:val="tx1"/>
            </w14:solidFill>
          </w14:textFill>
        </w:rPr>
      </w:pPr>
    </w:p>
    <w:p w14:paraId="10839891">
      <w:pPr>
        <w:rPr>
          <w:color w:val="000000" w:themeColor="text1"/>
          <w:highlight w:val="none"/>
          <w14:textFill>
            <w14:solidFill>
              <w14:schemeClr w14:val="tx1"/>
            </w14:solidFill>
          </w14:textFill>
        </w:rPr>
      </w:pPr>
    </w:p>
    <w:p w14:paraId="399B1CDE">
      <w:pPr>
        <w:rPr>
          <w:color w:val="000000" w:themeColor="text1"/>
          <w:highlight w:val="none"/>
          <w14:textFill>
            <w14:solidFill>
              <w14:schemeClr w14:val="tx1"/>
            </w14:solidFill>
          </w14:textFill>
        </w:rPr>
      </w:pPr>
    </w:p>
    <w:p w14:paraId="3355CA46">
      <w:pPr>
        <w:rPr>
          <w:color w:val="000000" w:themeColor="text1"/>
          <w:highlight w:val="none"/>
          <w14:textFill>
            <w14:solidFill>
              <w14:schemeClr w14:val="tx1"/>
            </w14:solidFill>
          </w14:textFill>
        </w:rPr>
      </w:pPr>
    </w:p>
    <w:p w14:paraId="568B9215">
      <w:pPr>
        <w:rPr>
          <w:color w:val="000000" w:themeColor="text1"/>
          <w:highlight w:val="none"/>
          <w14:textFill>
            <w14:solidFill>
              <w14:schemeClr w14:val="tx1"/>
            </w14:solidFill>
          </w14:textFill>
        </w:rPr>
      </w:pPr>
    </w:p>
    <w:p w14:paraId="7608DB90">
      <w:pPr>
        <w:rPr>
          <w:color w:val="000000" w:themeColor="text1"/>
          <w:highlight w:val="none"/>
          <w14:textFill>
            <w14:solidFill>
              <w14:schemeClr w14:val="tx1"/>
            </w14:solidFill>
          </w14:textFill>
        </w:rPr>
      </w:pPr>
    </w:p>
    <w:p w14:paraId="4BA79447">
      <w:pPr>
        <w:pStyle w:val="3"/>
        <w:rPr>
          <w:color w:val="000000" w:themeColor="text1"/>
          <w:szCs w:val="28"/>
          <w:highlight w:val="none"/>
          <w14:textFill>
            <w14:solidFill>
              <w14:schemeClr w14:val="tx1"/>
            </w14:solidFill>
          </w14:textFill>
        </w:rPr>
      </w:pPr>
      <w:r>
        <w:rPr>
          <w:b w:val="0"/>
          <w:bCs/>
          <w:color w:val="000000" w:themeColor="text1"/>
          <w:kern w:val="28"/>
          <w:sz w:val="44"/>
          <w:szCs w:val="44"/>
          <w:highlight w:val="none"/>
          <w14:textFill>
            <w14:solidFill>
              <w14:schemeClr w14:val="tx1"/>
            </w14:solidFill>
          </w14:textFill>
        </w:rPr>
        <w:t>第十章  合同的授予与备案</w:t>
      </w:r>
      <w:r>
        <w:rPr>
          <w:b w:val="0"/>
          <w:bCs/>
          <w:color w:val="000000" w:themeColor="text1"/>
          <w:kern w:val="28"/>
          <w:sz w:val="44"/>
          <w:szCs w:val="44"/>
          <w:highlight w:val="none"/>
          <w14:textFill>
            <w14:solidFill>
              <w14:schemeClr w14:val="tx1"/>
            </w14:solidFill>
          </w14:textFill>
        </w:rPr>
        <w:br w:type="page"/>
      </w:r>
    </w:p>
    <w:p w14:paraId="47A7F916">
      <w:pPr>
        <w:rPr>
          <w:color w:val="000000" w:themeColor="text1"/>
          <w:highlight w:val="none"/>
          <w14:textFill>
            <w14:solidFill>
              <w14:schemeClr w14:val="tx1"/>
            </w14:solidFill>
          </w14:textFill>
        </w:rPr>
      </w:pPr>
    </w:p>
    <w:p w14:paraId="7CBA5E3D">
      <w:pPr>
        <w:numPr>
          <w:ilvl w:val="0"/>
          <w:numId w:val="11"/>
        </w:numPr>
        <w:ind w:left="1037" w:hanging="1036" w:hangingChars="432"/>
        <w:rPr>
          <w:color w:val="000000" w:themeColor="text1"/>
          <w:sz w:val="24"/>
          <w:highlight w:val="none"/>
          <w14:textFill>
            <w14:solidFill>
              <w14:schemeClr w14:val="tx1"/>
            </w14:solidFill>
          </w14:textFill>
        </w:rPr>
      </w:pPr>
      <w:bookmarkStart w:id="215" w:name="_33._合同授予标准"/>
      <w:bookmarkEnd w:id="215"/>
      <w:bookmarkStart w:id="216" w:name="_Toc73521586"/>
      <w:bookmarkStart w:id="217" w:name="_Toc73521674"/>
      <w:bookmarkStart w:id="218" w:name="_Toc73518157"/>
      <w:bookmarkStart w:id="219" w:name="_Toc73517679"/>
      <w:bookmarkStart w:id="220" w:name="_Toc100052408"/>
      <w:r>
        <w:rPr>
          <w:color w:val="000000" w:themeColor="text1"/>
          <w:sz w:val="24"/>
          <w:highlight w:val="none"/>
          <w14:textFill>
            <w14:solidFill>
              <w14:schemeClr w14:val="tx1"/>
            </w14:solidFill>
          </w14:textFill>
        </w:rPr>
        <w:t>合同授予标准</w:t>
      </w:r>
      <w:bookmarkEnd w:id="216"/>
      <w:bookmarkEnd w:id="217"/>
      <w:bookmarkEnd w:id="218"/>
      <w:bookmarkEnd w:id="219"/>
      <w:bookmarkEnd w:id="220"/>
    </w:p>
    <w:p w14:paraId="1D8D69F0">
      <w:pPr>
        <w:numPr>
          <w:ilvl w:val="1"/>
          <w:numId w:val="12"/>
        </w:numPr>
        <w:ind w:hangingChars="432"/>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本项目的合同将授予按本采购文件规定评审确定的中标人。</w:t>
      </w:r>
    </w:p>
    <w:p w14:paraId="4E5E80B5">
      <w:pPr>
        <w:ind w:left="907"/>
        <w:rPr>
          <w:color w:val="000000" w:themeColor="text1"/>
          <w:szCs w:val="21"/>
          <w:highlight w:val="none"/>
          <w14:textFill>
            <w14:solidFill>
              <w14:schemeClr w14:val="tx1"/>
            </w14:solidFill>
          </w14:textFill>
        </w:rPr>
      </w:pPr>
    </w:p>
    <w:p w14:paraId="21A1821E">
      <w:pPr>
        <w:numPr>
          <w:ilvl w:val="0"/>
          <w:numId w:val="11"/>
        </w:numPr>
        <w:ind w:left="1037" w:hanging="1036" w:hangingChars="432"/>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接受和拒绝任何或所有投标的权力</w:t>
      </w:r>
    </w:p>
    <w:p w14:paraId="2095E23F">
      <w:pPr>
        <w:numPr>
          <w:ilvl w:val="1"/>
          <w:numId w:val="12"/>
        </w:numPr>
        <w:ind w:hangingChars="432"/>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政府采购代理机构和采购单位保留在投标之前任何时候接受或拒绝任何投标或所有投标，以及宣布招标无效的权力，对受影响的投标人不承担任何责任，也无义务向受影响的投标人解释采取这一行动的理由。</w:t>
      </w:r>
    </w:p>
    <w:p w14:paraId="307DDBAC">
      <w:pPr>
        <w:ind w:left="907"/>
        <w:rPr>
          <w:color w:val="000000" w:themeColor="text1"/>
          <w:szCs w:val="21"/>
          <w:highlight w:val="none"/>
          <w14:textFill>
            <w14:solidFill>
              <w14:schemeClr w14:val="tx1"/>
            </w14:solidFill>
          </w14:textFill>
        </w:rPr>
      </w:pPr>
    </w:p>
    <w:p w14:paraId="4170BB8C">
      <w:pPr>
        <w:numPr>
          <w:ilvl w:val="0"/>
          <w:numId w:val="11"/>
        </w:numPr>
        <w:ind w:left="1037" w:hanging="1036" w:hangingChars="432"/>
        <w:rPr>
          <w:color w:val="000000" w:themeColor="text1"/>
          <w:sz w:val="24"/>
          <w:highlight w:val="none"/>
          <w14:textFill>
            <w14:solidFill>
              <w14:schemeClr w14:val="tx1"/>
            </w14:solidFill>
          </w14:textFill>
        </w:rPr>
      </w:pPr>
      <w:bookmarkStart w:id="221" w:name="_Toc100052410"/>
      <w:bookmarkStart w:id="222" w:name="_Toc73521677"/>
      <w:bookmarkStart w:id="223" w:name="_Toc73517682"/>
      <w:bookmarkStart w:id="224" w:name="_Toc73518160"/>
      <w:bookmarkStart w:id="225" w:name="_Toc73521589"/>
      <w:r>
        <w:rPr>
          <w:color w:val="000000" w:themeColor="text1"/>
          <w:sz w:val="24"/>
          <w:highlight w:val="none"/>
          <w14:textFill>
            <w14:solidFill>
              <w14:schemeClr w14:val="tx1"/>
            </w14:solidFill>
          </w14:textFill>
        </w:rPr>
        <w:t>合同协议书的签订</w:t>
      </w:r>
      <w:bookmarkEnd w:id="221"/>
      <w:bookmarkEnd w:id="222"/>
      <w:bookmarkEnd w:id="223"/>
      <w:bookmarkEnd w:id="224"/>
      <w:bookmarkEnd w:id="225"/>
    </w:p>
    <w:p w14:paraId="6A2BA37E">
      <w:pPr>
        <w:numPr>
          <w:ilvl w:val="1"/>
          <w:numId w:val="12"/>
        </w:numPr>
        <w:ind w:hangingChars="432"/>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中标人将于中标通知书发出之日起十个工作日内，按照采购文件和投标文件内容与采购单位签订书面合同，合同书应采用本采购文件规定的合同样本；</w:t>
      </w:r>
    </w:p>
    <w:p w14:paraId="28D8B804">
      <w:pPr>
        <w:numPr>
          <w:ilvl w:val="1"/>
          <w:numId w:val="12"/>
        </w:numPr>
        <w:ind w:hangingChars="432"/>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中标人如不按本通用条款第47.1款的规定与采购单位签订合同，则政府采购代理机构将有充分的理由废除中标，并没收其投标保函，给政府采购代理机构造成的损失超过投标担保数额的，还应当对超过部分予以赔偿，同时承担相应法律责任；</w:t>
      </w:r>
    </w:p>
    <w:p w14:paraId="02BFA55A">
      <w:pPr>
        <w:numPr>
          <w:ilvl w:val="1"/>
          <w:numId w:val="12"/>
        </w:numPr>
        <w:ind w:hangingChars="432"/>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中标人应当按照合同约定履行义务，完成中标项目，不得将中标项目转让（转包）给他人；</w:t>
      </w:r>
    </w:p>
    <w:p w14:paraId="2B84FA87">
      <w:pPr>
        <w:numPr>
          <w:ilvl w:val="1"/>
          <w:numId w:val="12"/>
        </w:numPr>
        <w:ind w:hangingChars="432"/>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采购人与中标人签订的合同必须遵守本采购文件的合同条件，并且不得更改合同条件。</w:t>
      </w:r>
    </w:p>
    <w:p w14:paraId="323234AB">
      <w:pPr>
        <w:ind w:left="907"/>
        <w:rPr>
          <w:color w:val="000000" w:themeColor="text1"/>
          <w:szCs w:val="21"/>
          <w:highlight w:val="none"/>
          <w14:textFill>
            <w14:solidFill>
              <w14:schemeClr w14:val="tx1"/>
            </w14:solidFill>
          </w14:textFill>
        </w:rPr>
      </w:pPr>
    </w:p>
    <w:p w14:paraId="3C7763EE">
      <w:pPr>
        <w:numPr>
          <w:ilvl w:val="0"/>
          <w:numId w:val="11"/>
        </w:numPr>
        <w:ind w:left="1037" w:hanging="1036" w:hangingChars="432"/>
        <w:rPr>
          <w:color w:val="000000" w:themeColor="text1"/>
          <w:sz w:val="24"/>
          <w:highlight w:val="none"/>
          <w14:textFill>
            <w14:solidFill>
              <w14:schemeClr w14:val="tx1"/>
            </w14:solidFill>
          </w14:textFill>
        </w:rPr>
      </w:pPr>
      <w:bookmarkStart w:id="226" w:name="_Toc73517683"/>
      <w:bookmarkStart w:id="227" w:name="_Toc73521678"/>
      <w:bookmarkStart w:id="228" w:name="_Toc73518161"/>
      <w:bookmarkStart w:id="229" w:name="_Toc100052411"/>
      <w:bookmarkStart w:id="230" w:name="_Toc73521590"/>
      <w:r>
        <w:rPr>
          <w:color w:val="000000" w:themeColor="text1"/>
          <w:sz w:val="24"/>
          <w:highlight w:val="none"/>
          <w14:textFill>
            <w14:solidFill>
              <w14:schemeClr w14:val="tx1"/>
            </w14:solidFill>
          </w14:textFill>
        </w:rPr>
        <w:t>履约担保</w:t>
      </w:r>
      <w:bookmarkEnd w:id="226"/>
      <w:bookmarkEnd w:id="227"/>
      <w:bookmarkEnd w:id="228"/>
      <w:bookmarkEnd w:id="229"/>
      <w:bookmarkEnd w:id="230"/>
    </w:p>
    <w:p w14:paraId="190F6CC7">
      <w:pPr>
        <w:numPr>
          <w:ilvl w:val="1"/>
          <w:numId w:val="12"/>
        </w:numPr>
        <w:ind w:hangingChars="432"/>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在签订项目合同的同时，中标人应按“对通用条款的补充内容”中规定的金额向采购单位提交履约保函；</w:t>
      </w:r>
    </w:p>
    <w:p w14:paraId="6394E4FE">
      <w:pPr>
        <w:numPr>
          <w:ilvl w:val="1"/>
          <w:numId w:val="12"/>
        </w:numPr>
        <w:ind w:hangingChars="432"/>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如果中标人不能按本通用条款第49.1款的规定执行，采购单位将有充分的理由通过政府采购监督管理部门废除中标，并没收投标保函，给采购单位造成的损失超过投标保函数额的，还应当对超过部分予以赔偿；</w:t>
      </w:r>
    </w:p>
    <w:p w14:paraId="0F112254">
      <w:pPr>
        <w:numPr>
          <w:ilvl w:val="1"/>
          <w:numId w:val="12"/>
        </w:numPr>
        <w:ind w:hangingChars="432"/>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项目服务期满之后，经验收合格后，采购单位在七日内办理解除履约担保手续。</w:t>
      </w:r>
    </w:p>
    <w:p w14:paraId="6DDB38F1">
      <w:pPr>
        <w:ind w:left="907"/>
        <w:rPr>
          <w:color w:val="000000" w:themeColor="text1"/>
          <w:szCs w:val="21"/>
          <w:highlight w:val="none"/>
          <w14:textFill>
            <w14:solidFill>
              <w14:schemeClr w14:val="tx1"/>
            </w14:solidFill>
          </w14:textFill>
        </w:rPr>
      </w:pPr>
    </w:p>
    <w:p w14:paraId="5EA388AF">
      <w:pPr>
        <w:numPr>
          <w:ilvl w:val="0"/>
          <w:numId w:val="11"/>
        </w:numPr>
        <w:ind w:left="1037" w:hanging="1036" w:hangingChars="432"/>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招标代理服务费</w:t>
      </w:r>
    </w:p>
    <w:p w14:paraId="7B906640">
      <w:pPr>
        <w:numPr>
          <w:ilvl w:val="1"/>
          <w:numId w:val="12"/>
        </w:numPr>
        <w:ind w:hangingChars="432"/>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招标代理服务费依据深财购[2018]27号文及相关规定，具体收费标准如下表：</w:t>
      </w:r>
    </w:p>
    <w:tbl>
      <w:tblPr>
        <w:tblStyle w:val="23"/>
        <w:tblW w:w="0" w:type="auto"/>
        <w:jc w:val="right"/>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60"/>
        <w:gridCol w:w="1984"/>
        <w:gridCol w:w="1843"/>
        <w:gridCol w:w="1900"/>
      </w:tblGrid>
      <w:tr w14:paraId="2BFD47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right"/>
        </w:trPr>
        <w:tc>
          <w:tcPr>
            <w:tcW w:w="1760" w:type="dxa"/>
          </w:tcPr>
          <w:p w14:paraId="6970EECC">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中标金额（万元）</w:t>
            </w:r>
          </w:p>
        </w:tc>
        <w:tc>
          <w:tcPr>
            <w:tcW w:w="1984" w:type="dxa"/>
            <w:vAlign w:val="center"/>
          </w:tcPr>
          <w:p w14:paraId="37596F37">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货物采购</w:t>
            </w:r>
          </w:p>
        </w:tc>
        <w:tc>
          <w:tcPr>
            <w:tcW w:w="1843" w:type="dxa"/>
            <w:vAlign w:val="center"/>
          </w:tcPr>
          <w:p w14:paraId="62D626A1">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服务采购</w:t>
            </w:r>
          </w:p>
        </w:tc>
        <w:tc>
          <w:tcPr>
            <w:tcW w:w="1900" w:type="dxa"/>
            <w:vAlign w:val="center"/>
          </w:tcPr>
          <w:p w14:paraId="59661F25">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工程采购</w:t>
            </w:r>
          </w:p>
        </w:tc>
      </w:tr>
      <w:tr w14:paraId="1DD0BA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right"/>
        </w:trPr>
        <w:tc>
          <w:tcPr>
            <w:tcW w:w="1760" w:type="dxa"/>
          </w:tcPr>
          <w:p w14:paraId="27A46A00">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100以下</w:t>
            </w:r>
          </w:p>
        </w:tc>
        <w:tc>
          <w:tcPr>
            <w:tcW w:w="1984" w:type="dxa"/>
          </w:tcPr>
          <w:p w14:paraId="7688FFC9">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1.5%</w:t>
            </w:r>
          </w:p>
        </w:tc>
        <w:tc>
          <w:tcPr>
            <w:tcW w:w="1843" w:type="dxa"/>
          </w:tcPr>
          <w:p w14:paraId="5F03E175">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1.5%</w:t>
            </w:r>
          </w:p>
        </w:tc>
        <w:tc>
          <w:tcPr>
            <w:tcW w:w="1900" w:type="dxa"/>
          </w:tcPr>
          <w:p w14:paraId="3A09766E">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1.0%</w:t>
            </w:r>
          </w:p>
        </w:tc>
      </w:tr>
      <w:tr w14:paraId="1F700F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right"/>
        </w:trPr>
        <w:tc>
          <w:tcPr>
            <w:tcW w:w="1760" w:type="dxa"/>
          </w:tcPr>
          <w:p w14:paraId="14496E72">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100-500</w:t>
            </w:r>
          </w:p>
        </w:tc>
        <w:tc>
          <w:tcPr>
            <w:tcW w:w="1984" w:type="dxa"/>
          </w:tcPr>
          <w:p w14:paraId="0584C22E">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1.1%</w:t>
            </w:r>
          </w:p>
        </w:tc>
        <w:tc>
          <w:tcPr>
            <w:tcW w:w="1843" w:type="dxa"/>
          </w:tcPr>
          <w:p w14:paraId="24AEE133">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0.8%</w:t>
            </w:r>
          </w:p>
        </w:tc>
        <w:tc>
          <w:tcPr>
            <w:tcW w:w="1900" w:type="dxa"/>
          </w:tcPr>
          <w:p w14:paraId="1FCA978D">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0.7%</w:t>
            </w:r>
          </w:p>
        </w:tc>
      </w:tr>
      <w:tr w14:paraId="1C73A6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right"/>
        </w:trPr>
        <w:tc>
          <w:tcPr>
            <w:tcW w:w="1760" w:type="dxa"/>
          </w:tcPr>
          <w:p w14:paraId="751EEC3A">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500-1000</w:t>
            </w:r>
          </w:p>
        </w:tc>
        <w:tc>
          <w:tcPr>
            <w:tcW w:w="1984" w:type="dxa"/>
          </w:tcPr>
          <w:p w14:paraId="108ED506">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0.8%</w:t>
            </w:r>
          </w:p>
        </w:tc>
        <w:tc>
          <w:tcPr>
            <w:tcW w:w="1843" w:type="dxa"/>
          </w:tcPr>
          <w:p w14:paraId="01A6F4D6">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0.45%</w:t>
            </w:r>
          </w:p>
        </w:tc>
        <w:tc>
          <w:tcPr>
            <w:tcW w:w="1900" w:type="dxa"/>
          </w:tcPr>
          <w:p w14:paraId="226334A5">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0.55%</w:t>
            </w:r>
          </w:p>
        </w:tc>
      </w:tr>
      <w:tr w14:paraId="4A2113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right"/>
        </w:trPr>
        <w:tc>
          <w:tcPr>
            <w:tcW w:w="1760" w:type="dxa"/>
          </w:tcPr>
          <w:p w14:paraId="05BF604B">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1000-5000</w:t>
            </w:r>
          </w:p>
        </w:tc>
        <w:tc>
          <w:tcPr>
            <w:tcW w:w="1984" w:type="dxa"/>
          </w:tcPr>
          <w:p w14:paraId="2E1CF48A">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0.5%</w:t>
            </w:r>
          </w:p>
        </w:tc>
        <w:tc>
          <w:tcPr>
            <w:tcW w:w="1843" w:type="dxa"/>
          </w:tcPr>
          <w:p w14:paraId="06CE2D95">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0.25%</w:t>
            </w:r>
          </w:p>
        </w:tc>
        <w:tc>
          <w:tcPr>
            <w:tcW w:w="1900" w:type="dxa"/>
          </w:tcPr>
          <w:p w14:paraId="48209B2C">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0.35%</w:t>
            </w:r>
          </w:p>
        </w:tc>
      </w:tr>
      <w:tr w14:paraId="23E0DF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right"/>
        </w:trPr>
        <w:tc>
          <w:tcPr>
            <w:tcW w:w="1760" w:type="dxa"/>
          </w:tcPr>
          <w:p w14:paraId="7CDF979F">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5000-10000</w:t>
            </w:r>
          </w:p>
        </w:tc>
        <w:tc>
          <w:tcPr>
            <w:tcW w:w="1984" w:type="dxa"/>
          </w:tcPr>
          <w:p w14:paraId="2ACA2CCB">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0.25%</w:t>
            </w:r>
          </w:p>
        </w:tc>
        <w:tc>
          <w:tcPr>
            <w:tcW w:w="1843" w:type="dxa"/>
          </w:tcPr>
          <w:p w14:paraId="1978CCBB">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0.1%</w:t>
            </w:r>
          </w:p>
        </w:tc>
        <w:tc>
          <w:tcPr>
            <w:tcW w:w="1900" w:type="dxa"/>
          </w:tcPr>
          <w:p w14:paraId="5A16C37D">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0.2%</w:t>
            </w:r>
          </w:p>
        </w:tc>
      </w:tr>
      <w:tr w14:paraId="38D0D0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9" w:hRule="atLeast"/>
          <w:jc w:val="right"/>
        </w:trPr>
        <w:tc>
          <w:tcPr>
            <w:tcW w:w="1760" w:type="dxa"/>
          </w:tcPr>
          <w:p w14:paraId="656B911B">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10000-50000</w:t>
            </w:r>
          </w:p>
        </w:tc>
        <w:tc>
          <w:tcPr>
            <w:tcW w:w="1984" w:type="dxa"/>
          </w:tcPr>
          <w:p w14:paraId="56CC9184">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0.05%</w:t>
            </w:r>
          </w:p>
        </w:tc>
        <w:tc>
          <w:tcPr>
            <w:tcW w:w="1843" w:type="dxa"/>
          </w:tcPr>
          <w:p w14:paraId="22B0FDAE">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0.05%</w:t>
            </w:r>
          </w:p>
        </w:tc>
        <w:tc>
          <w:tcPr>
            <w:tcW w:w="1900" w:type="dxa"/>
          </w:tcPr>
          <w:p w14:paraId="49D0B961">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0.05%</w:t>
            </w:r>
          </w:p>
        </w:tc>
      </w:tr>
    </w:tbl>
    <w:p w14:paraId="7912CEAC">
      <w:pPr>
        <w:ind w:left="907"/>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注：</w:t>
      </w:r>
    </w:p>
    <w:p w14:paraId="04FC62C3">
      <w:pPr>
        <w:ind w:left="907"/>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(1)以中标通知书中确定的中标总金额作为缴费的计算基数。</w:t>
      </w:r>
    </w:p>
    <w:p w14:paraId="49B5E090">
      <w:pPr>
        <w:ind w:left="907"/>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(2)招标代理服务费按差额定率累进法计算。</w:t>
      </w:r>
    </w:p>
    <w:p w14:paraId="23AA0E31">
      <w:pPr>
        <w:ind w:left="907"/>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(3)领取中标通知书前向采购代理机构缴纳服务费。</w:t>
      </w:r>
    </w:p>
    <w:p w14:paraId="6F4C412F">
      <w:pPr>
        <w:ind w:left="907"/>
        <w:rPr>
          <w:color w:val="000000" w:themeColor="text1"/>
          <w:szCs w:val="21"/>
          <w:highlight w:val="none"/>
          <w14:textFill>
            <w14:solidFill>
              <w14:schemeClr w14:val="tx1"/>
            </w14:solidFill>
          </w14:textFill>
        </w:rPr>
      </w:pPr>
    </w:p>
    <w:p w14:paraId="31B6052B">
      <w:pPr>
        <w:ind w:left="907"/>
        <w:rPr>
          <w:color w:val="000000" w:themeColor="text1"/>
          <w:szCs w:val="21"/>
          <w:highlight w:val="none"/>
          <w14:textFill>
            <w14:solidFill>
              <w14:schemeClr w14:val="tx1"/>
            </w14:solidFill>
          </w14:textFill>
        </w:rPr>
      </w:pPr>
    </w:p>
    <w:p w14:paraId="62A1BEC8">
      <w:pPr>
        <w:numPr>
          <w:ilvl w:val="0"/>
          <w:numId w:val="11"/>
        </w:numP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合同公示</w:t>
      </w:r>
    </w:p>
    <w:p w14:paraId="719E0765">
      <w:pPr>
        <w:numPr>
          <w:ilvl w:val="1"/>
          <w:numId w:val="12"/>
        </w:numPr>
        <w:ind w:hangingChars="432"/>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政府采购合同应当自合同签订之日起2个工作日内公告。批量集中采购项目应当公告框架协议。政府采购合同中涉及国家秘密、商业秘密的部分可以不公告，但其他内容应当公告。政府采购合同涉及国家秘密的内容，由采购人依据《保守国家秘密法》等法律制度规定确定。采购合同中涉及商业秘密的内容，由采购人依据《反不正当竞争法》、《最高人民法院关于适用&lt;中华人民共和国民事诉讼法&gt;若干问题的意见》(法发(1992) 22号）等法律制度的规定，与供应商在合同中约定。其中，合同标的名称、规格型号、单价及合同金额等内容不得作为商业秘密。合同中涉及个人隐私的姓名、联系方式等内容，除征得权利人同意外，不得对外公告。</w:t>
      </w:r>
    </w:p>
    <w:p w14:paraId="0B253078">
      <w:pPr>
        <w:ind w:left="907"/>
        <w:rPr>
          <w:color w:val="000000" w:themeColor="text1"/>
          <w:szCs w:val="21"/>
          <w:highlight w:val="none"/>
          <w14:textFill>
            <w14:solidFill>
              <w14:schemeClr w14:val="tx1"/>
            </w14:solidFill>
          </w14:textFill>
        </w:rPr>
      </w:pPr>
    </w:p>
    <w:p w14:paraId="2ABD8FCE">
      <w:pPr>
        <w:numPr>
          <w:ilvl w:val="0"/>
          <w:numId w:val="11"/>
        </w:numP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履约情况的反馈</w:t>
      </w:r>
    </w:p>
    <w:p w14:paraId="0DB7039C">
      <w:pPr>
        <w:numPr>
          <w:ilvl w:val="1"/>
          <w:numId w:val="12"/>
        </w:numPr>
        <w:ind w:hangingChars="432"/>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采购人应及时向政府采购代理机构反馈中标人的履约情况（填写《政府采购履约情况反馈表》），中标人的履约情况将作为供应商考核的重要依据，并将成为日后政府采购活动中的项目评标依据。</w:t>
      </w:r>
    </w:p>
    <w:p w14:paraId="0861FAA1">
      <w:pPr>
        <w:ind w:left="907"/>
        <w:rPr>
          <w:color w:val="000000" w:themeColor="text1"/>
          <w:szCs w:val="21"/>
          <w:highlight w:val="none"/>
          <w14:textFill>
            <w14:solidFill>
              <w14:schemeClr w14:val="tx1"/>
            </w14:solidFill>
          </w14:textFill>
        </w:rPr>
      </w:pPr>
    </w:p>
    <w:p w14:paraId="25BDB2AA">
      <w:pPr>
        <w:numPr>
          <w:ilvl w:val="0"/>
          <w:numId w:val="11"/>
        </w:numP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宣传</w:t>
      </w:r>
    </w:p>
    <w:p w14:paraId="4FBDDBED">
      <w:pPr>
        <w:numPr>
          <w:ilvl w:val="1"/>
          <w:numId w:val="12"/>
        </w:numPr>
        <w:ind w:hangingChars="432"/>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凡与政府采购活动有关的宣传或广告，若当中提及政府采购，必须事先将具体对外宣传方案报采购代理机构，并征得其同意。对外市场宣传包括但不限于以下形式：</w:t>
      </w:r>
    </w:p>
    <w:p w14:paraId="689A0FAC">
      <w:pPr>
        <w:numPr>
          <w:ilvl w:val="2"/>
          <w:numId w:val="13"/>
        </w:numP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名片、宣传册、广告标语等；</w:t>
      </w:r>
    </w:p>
    <w:p w14:paraId="63D3B0FF">
      <w:pPr>
        <w:numPr>
          <w:ilvl w:val="2"/>
          <w:numId w:val="13"/>
        </w:numP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案例介绍、推广等；</w:t>
      </w:r>
    </w:p>
    <w:p w14:paraId="078D9CC7">
      <w:pPr>
        <w:numPr>
          <w:ilvl w:val="2"/>
          <w:numId w:val="13"/>
        </w:numP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工作人员向其他消费群体宣传。</w:t>
      </w:r>
    </w:p>
    <w:p w14:paraId="2080F475">
      <w:pPr>
        <w:ind w:left="907"/>
        <w:rPr>
          <w:color w:val="000000" w:themeColor="text1"/>
          <w:szCs w:val="21"/>
          <w:highlight w:val="none"/>
          <w14:textFill>
            <w14:solidFill>
              <w14:schemeClr w14:val="tx1"/>
            </w14:solidFill>
          </w14:textFill>
        </w:rPr>
      </w:pPr>
    </w:p>
    <w:p w14:paraId="3B177C00">
      <w:pPr>
        <w:numPr>
          <w:ilvl w:val="0"/>
          <w:numId w:val="11"/>
        </w:numP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腐败和欺诈行为</w:t>
      </w:r>
    </w:p>
    <w:p w14:paraId="1F9FBA4E">
      <w:pPr>
        <w:numPr>
          <w:ilvl w:val="1"/>
          <w:numId w:val="12"/>
        </w:numPr>
        <w:ind w:hangingChars="432"/>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政府采购要求合同项下的采购人和中标人在合同采购和实施过程中应遵守最高的道德标准。根据本要求，政府采购代理机构将：</w:t>
      </w:r>
    </w:p>
    <w:p w14:paraId="67A532C6">
      <w:pPr>
        <w:numPr>
          <w:ilvl w:val="2"/>
          <w:numId w:val="13"/>
        </w:numP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为此目的，定义下述条件：</w:t>
      </w:r>
    </w:p>
    <w:p w14:paraId="634C6A0C">
      <w:pPr>
        <w:ind w:left="907"/>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（a）“腐败行为”是指提供、给予、接受或索取任何有价值的东西来影响招标方或采购人在采购过程或合同实施过程中的行为；</w:t>
      </w:r>
    </w:p>
    <w:p w14:paraId="65E8D933">
      <w:pPr>
        <w:ind w:left="907"/>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b）“欺诈行为”是指为了影响采购过程或合同实施过程而谎报事实，损害招标方或采购人的利益，包括投标人之间串通投标（递交投标书之前和之后），人为地使投标丧失竞争性，剥夺招标方或采购人从自由公开竞争所能获得的权益。</w:t>
      </w:r>
    </w:p>
    <w:p w14:paraId="32EEBE09">
      <w:pPr>
        <w:numPr>
          <w:ilvl w:val="2"/>
          <w:numId w:val="13"/>
        </w:numP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如果评审委员会认为投标人在本合同的竞争中有腐败和欺诈行为，则拒绝接受该投标。</w:t>
      </w:r>
    </w:p>
    <w:p w14:paraId="6B114DF1">
      <w:pPr>
        <w:numPr>
          <w:ilvl w:val="2"/>
          <w:numId w:val="13"/>
        </w:numP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如果投标人或中标人在政府采购合同的竞争和实施过程中有腐败和欺诈行为，将依据</w:t>
      </w:r>
      <w:r>
        <w:rPr>
          <w:rFonts w:hint="eastAsia"/>
          <w:color w:val="000000" w:themeColor="text1"/>
          <w:szCs w:val="21"/>
          <w:highlight w:val="none"/>
          <w14:textFill>
            <w14:solidFill>
              <w14:schemeClr w14:val="tx1"/>
            </w14:solidFill>
          </w14:textFill>
        </w:rPr>
        <w:t>《中华人民共和国民法典》</w:t>
      </w:r>
      <w:r>
        <w:rPr>
          <w:color w:val="000000" w:themeColor="text1"/>
          <w:szCs w:val="21"/>
          <w:highlight w:val="none"/>
          <w14:textFill>
            <w14:solidFill>
              <w14:schemeClr w14:val="tx1"/>
            </w14:solidFill>
          </w14:textFill>
        </w:rPr>
        <w:t>、《深圳经济特区政府采购条例》有关法律法规进行处罚。</w:t>
      </w:r>
    </w:p>
    <w:p w14:paraId="14DAFB02">
      <w:pPr>
        <w:rPr>
          <w:color w:val="000000" w:themeColor="text1"/>
          <w:highlight w:val="none"/>
          <w14:textFill>
            <w14:solidFill>
              <w14:schemeClr w14:val="tx1"/>
            </w14:solidFill>
          </w14:textFill>
        </w:rPr>
      </w:pPr>
    </w:p>
    <w:p w14:paraId="023A034A">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p>
    <w:p w14:paraId="137A9C96">
      <w:pPr>
        <w:rPr>
          <w:color w:val="000000" w:themeColor="text1"/>
          <w:highlight w:val="none"/>
          <w14:textFill>
            <w14:solidFill>
              <w14:schemeClr w14:val="tx1"/>
            </w14:solidFill>
          </w14:textFill>
        </w:rPr>
      </w:pPr>
    </w:p>
    <w:p w14:paraId="552BFB88">
      <w:pPr>
        <w:rPr>
          <w:color w:val="000000" w:themeColor="text1"/>
          <w:highlight w:val="none"/>
          <w14:textFill>
            <w14:solidFill>
              <w14:schemeClr w14:val="tx1"/>
            </w14:solidFill>
          </w14:textFill>
        </w:rPr>
      </w:pPr>
    </w:p>
    <w:p w14:paraId="0B31DA44">
      <w:pPr>
        <w:rPr>
          <w:color w:val="000000" w:themeColor="text1"/>
          <w:highlight w:val="none"/>
          <w14:textFill>
            <w14:solidFill>
              <w14:schemeClr w14:val="tx1"/>
            </w14:solidFill>
          </w14:textFill>
        </w:rPr>
      </w:pPr>
    </w:p>
    <w:p w14:paraId="3048F2C1">
      <w:pPr>
        <w:rPr>
          <w:color w:val="000000" w:themeColor="text1"/>
          <w:highlight w:val="none"/>
          <w14:textFill>
            <w14:solidFill>
              <w14:schemeClr w14:val="tx1"/>
            </w14:solidFill>
          </w14:textFill>
        </w:rPr>
      </w:pPr>
    </w:p>
    <w:p w14:paraId="3453606F">
      <w:pPr>
        <w:rPr>
          <w:color w:val="000000" w:themeColor="text1"/>
          <w:highlight w:val="none"/>
          <w14:textFill>
            <w14:solidFill>
              <w14:schemeClr w14:val="tx1"/>
            </w14:solidFill>
          </w14:textFill>
        </w:rPr>
      </w:pPr>
    </w:p>
    <w:p w14:paraId="11DA74AE">
      <w:pPr>
        <w:rPr>
          <w:color w:val="000000" w:themeColor="text1"/>
          <w:highlight w:val="none"/>
          <w14:textFill>
            <w14:solidFill>
              <w14:schemeClr w14:val="tx1"/>
            </w14:solidFill>
          </w14:textFill>
        </w:rPr>
      </w:pPr>
    </w:p>
    <w:p w14:paraId="08301F29">
      <w:pPr>
        <w:rPr>
          <w:color w:val="000000" w:themeColor="text1"/>
          <w:highlight w:val="none"/>
          <w14:textFill>
            <w14:solidFill>
              <w14:schemeClr w14:val="tx1"/>
            </w14:solidFill>
          </w14:textFill>
        </w:rPr>
      </w:pPr>
    </w:p>
    <w:p w14:paraId="7EE63B07">
      <w:pPr>
        <w:rPr>
          <w:color w:val="000000" w:themeColor="text1"/>
          <w:highlight w:val="none"/>
          <w14:textFill>
            <w14:solidFill>
              <w14:schemeClr w14:val="tx1"/>
            </w14:solidFill>
          </w14:textFill>
        </w:rPr>
      </w:pPr>
    </w:p>
    <w:p w14:paraId="66920581">
      <w:pPr>
        <w:rPr>
          <w:color w:val="000000" w:themeColor="text1"/>
          <w:highlight w:val="none"/>
          <w14:textFill>
            <w14:solidFill>
              <w14:schemeClr w14:val="tx1"/>
            </w14:solidFill>
          </w14:textFill>
        </w:rPr>
      </w:pPr>
    </w:p>
    <w:p w14:paraId="21E52FBA">
      <w:pPr>
        <w:rPr>
          <w:color w:val="000000" w:themeColor="text1"/>
          <w:highlight w:val="none"/>
          <w14:textFill>
            <w14:solidFill>
              <w14:schemeClr w14:val="tx1"/>
            </w14:solidFill>
          </w14:textFill>
        </w:rPr>
      </w:pPr>
    </w:p>
    <w:p w14:paraId="1F2F3FEA">
      <w:pPr>
        <w:rPr>
          <w:color w:val="000000" w:themeColor="text1"/>
          <w:highlight w:val="none"/>
          <w14:textFill>
            <w14:solidFill>
              <w14:schemeClr w14:val="tx1"/>
            </w14:solidFill>
          </w14:textFill>
        </w:rPr>
      </w:pPr>
    </w:p>
    <w:p w14:paraId="18566B44">
      <w:pPr>
        <w:rPr>
          <w:color w:val="000000" w:themeColor="text1"/>
          <w:highlight w:val="none"/>
          <w14:textFill>
            <w14:solidFill>
              <w14:schemeClr w14:val="tx1"/>
            </w14:solidFill>
          </w14:textFill>
        </w:rPr>
      </w:pPr>
    </w:p>
    <w:p w14:paraId="005600D7">
      <w:pPr>
        <w:rPr>
          <w:color w:val="000000" w:themeColor="text1"/>
          <w:highlight w:val="none"/>
          <w14:textFill>
            <w14:solidFill>
              <w14:schemeClr w14:val="tx1"/>
            </w14:solidFill>
          </w14:textFill>
        </w:rPr>
      </w:pPr>
    </w:p>
    <w:p w14:paraId="719A09DA">
      <w:pPr>
        <w:rPr>
          <w:color w:val="000000" w:themeColor="text1"/>
          <w:highlight w:val="none"/>
          <w14:textFill>
            <w14:solidFill>
              <w14:schemeClr w14:val="tx1"/>
            </w14:solidFill>
          </w14:textFill>
        </w:rPr>
      </w:pPr>
    </w:p>
    <w:p w14:paraId="7AACC26C">
      <w:pPr>
        <w:rPr>
          <w:color w:val="000000" w:themeColor="text1"/>
          <w:highlight w:val="none"/>
          <w14:textFill>
            <w14:solidFill>
              <w14:schemeClr w14:val="tx1"/>
            </w14:solidFill>
          </w14:textFill>
        </w:rPr>
      </w:pPr>
    </w:p>
    <w:p w14:paraId="0BF94ABB">
      <w:pPr>
        <w:pStyle w:val="3"/>
        <w:rPr>
          <w:color w:val="000000" w:themeColor="text1"/>
          <w:highlight w:val="none"/>
          <w14:textFill>
            <w14:solidFill>
              <w14:schemeClr w14:val="tx1"/>
            </w14:solidFill>
          </w14:textFill>
        </w:rPr>
      </w:pPr>
      <w:r>
        <w:rPr>
          <w:b w:val="0"/>
          <w:bCs/>
          <w:color w:val="000000" w:themeColor="text1"/>
          <w:kern w:val="28"/>
          <w:sz w:val="44"/>
          <w:szCs w:val="44"/>
          <w:highlight w:val="none"/>
          <w14:textFill>
            <w14:solidFill>
              <w14:schemeClr w14:val="tx1"/>
            </w14:solidFill>
          </w14:textFill>
        </w:rPr>
        <w:t>第十一章  质疑处理</w:t>
      </w:r>
      <w:r>
        <w:rPr>
          <w:b w:val="0"/>
          <w:bCs/>
          <w:color w:val="000000" w:themeColor="text1"/>
          <w:kern w:val="28"/>
          <w:sz w:val="44"/>
          <w:szCs w:val="44"/>
          <w:highlight w:val="none"/>
          <w14:textFill>
            <w14:solidFill>
              <w14:schemeClr w14:val="tx1"/>
            </w14:solidFill>
          </w14:textFill>
        </w:rPr>
        <w:br w:type="page"/>
      </w:r>
    </w:p>
    <w:p w14:paraId="7A451049">
      <w:pPr>
        <w:numPr>
          <w:ilvl w:val="0"/>
          <w:numId w:val="11"/>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质疑受理机构</w:t>
      </w:r>
    </w:p>
    <w:p w14:paraId="23992250">
      <w:pPr>
        <w:numPr>
          <w:ilvl w:val="1"/>
          <w:numId w:val="12"/>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采购代理机构负责受理和答复质疑。</w:t>
      </w:r>
    </w:p>
    <w:p w14:paraId="61D33945">
      <w:pPr>
        <w:rPr>
          <w:rFonts w:ascii="宋体" w:hAnsi="宋体" w:cs="宋体"/>
          <w:color w:val="000000" w:themeColor="text1"/>
          <w:sz w:val="22"/>
          <w:szCs w:val="22"/>
          <w:highlight w:val="none"/>
          <w14:textFill>
            <w14:solidFill>
              <w14:schemeClr w14:val="tx1"/>
            </w14:solidFill>
          </w14:textFill>
        </w:rPr>
      </w:pPr>
    </w:p>
    <w:p w14:paraId="1AEE8B4C">
      <w:pPr>
        <w:numPr>
          <w:ilvl w:val="0"/>
          <w:numId w:val="11"/>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质疑处理原则</w:t>
      </w:r>
    </w:p>
    <w:p w14:paraId="6EAA669B">
      <w:pPr>
        <w:numPr>
          <w:ilvl w:val="1"/>
          <w:numId w:val="12"/>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质疑处理遵循公平、公正、规范、高效的原则。</w:t>
      </w:r>
    </w:p>
    <w:p w14:paraId="58C0611E">
      <w:pPr>
        <w:numPr>
          <w:ilvl w:val="1"/>
          <w:numId w:val="12"/>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供应商质疑实行实名制和“谁质疑，谁举证”的原则，质疑应有具体的事项及事实根据。</w:t>
      </w:r>
    </w:p>
    <w:p w14:paraId="0CFBD2E3">
      <w:pPr>
        <w:ind w:left="907"/>
        <w:rPr>
          <w:rFonts w:ascii="宋体" w:hAnsi="宋体" w:cs="宋体"/>
          <w:color w:val="000000" w:themeColor="text1"/>
          <w:sz w:val="22"/>
          <w:szCs w:val="22"/>
          <w:highlight w:val="none"/>
          <w14:textFill>
            <w14:solidFill>
              <w14:schemeClr w14:val="tx1"/>
            </w14:solidFill>
          </w14:textFill>
        </w:rPr>
      </w:pPr>
    </w:p>
    <w:p w14:paraId="7E299DDD">
      <w:pPr>
        <w:numPr>
          <w:ilvl w:val="0"/>
          <w:numId w:val="11"/>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质疑受理的时效和范围</w:t>
      </w:r>
    </w:p>
    <w:p w14:paraId="0839F950">
      <w:pPr>
        <w:numPr>
          <w:ilvl w:val="1"/>
          <w:numId w:val="12"/>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供应商认为采购文件、采购过程和中标、成交结果使自己权益受到损害的，可以在知道或者应知其权益受到损害之日起七个工作日内，以书面形式向政府采购代理机构提出质疑。</w:t>
      </w:r>
    </w:p>
    <w:p w14:paraId="2D86C1D6">
      <w:pPr>
        <w:numPr>
          <w:ilvl w:val="1"/>
          <w:numId w:val="12"/>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供应商对采购文件有疑问的，政府采购代理机构按答疑程序处理；供应商对采购文件有异议的，按质疑程序处理。</w:t>
      </w:r>
    </w:p>
    <w:p w14:paraId="200BB189">
      <w:pPr>
        <w:numPr>
          <w:ilvl w:val="1"/>
          <w:numId w:val="12"/>
        </w:numPr>
        <w:ind w:left="950" w:hanging="950" w:hangingChars="432"/>
        <w:rPr>
          <w:rFonts w:ascii="宋体" w:hAnsi="宋体" w:cs="宋体"/>
          <w:color w:val="000000" w:themeColor="text1"/>
          <w:sz w:val="22"/>
          <w:szCs w:val="22"/>
          <w:highlight w:val="none"/>
          <w14:textFill>
            <w14:solidFill>
              <w14:schemeClr w14:val="tx1"/>
            </w14:solidFill>
          </w14:textFill>
        </w:rPr>
      </w:pPr>
      <w:r>
        <w:rPr>
          <w:rFonts w:ascii="宋体" w:hAnsi="宋体" w:cs="宋体"/>
          <w:color w:val="000000" w:themeColor="text1"/>
          <w:sz w:val="22"/>
          <w:szCs w:val="22"/>
          <w:highlight w:val="none"/>
          <w14:textFill>
            <w14:solidFill>
              <w14:schemeClr w14:val="tx1"/>
            </w14:solidFill>
          </w14:textFill>
        </w:rPr>
        <w:t>供应商在法定质疑期内一次性提出针对同一采购程序环节的质疑。</w:t>
      </w:r>
    </w:p>
    <w:p w14:paraId="306847CD">
      <w:pPr>
        <w:ind w:left="907"/>
        <w:rPr>
          <w:rFonts w:ascii="宋体" w:hAnsi="宋体" w:cs="宋体"/>
          <w:color w:val="000000" w:themeColor="text1"/>
          <w:sz w:val="22"/>
          <w:szCs w:val="22"/>
          <w:highlight w:val="none"/>
          <w14:textFill>
            <w14:solidFill>
              <w14:schemeClr w14:val="tx1"/>
            </w14:solidFill>
          </w14:textFill>
        </w:rPr>
      </w:pPr>
    </w:p>
    <w:p w14:paraId="106C04F0">
      <w:pPr>
        <w:numPr>
          <w:ilvl w:val="0"/>
          <w:numId w:val="11"/>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质疑条件</w:t>
      </w:r>
    </w:p>
    <w:p w14:paraId="7E8C3295">
      <w:pPr>
        <w:numPr>
          <w:ilvl w:val="1"/>
          <w:numId w:val="12"/>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提出质疑的应是直接参与相应采购项目的供应商。以联合体形式参与的，由联合体共同提出；</w:t>
      </w:r>
    </w:p>
    <w:p w14:paraId="58CE1CC4">
      <w:pPr>
        <w:numPr>
          <w:ilvl w:val="1"/>
          <w:numId w:val="12"/>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提供质疑的项目名称和编号、质疑供应商的单位名称、详细地址、邮政编码、联系人及联系电话等基本情况；</w:t>
      </w:r>
    </w:p>
    <w:p w14:paraId="66EE3FF2">
      <w:pPr>
        <w:numPr>
          <w:ilvl w:val="1"/>
          <w:numId w:val="12"/>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有质疑的具体事项、请求及理由，并附相关证据材料；</w:t>
      </w:r>
    </w:p>
    <w:p w14:paraId="5F43F4F1">
      <w:pPr>
        <w:numPr>
          <w:ilvl w:val="1"/>
          <w:numId w:val="12"/>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质疑书加盖公章，被授权人进行质疑的同时提交法人授权委托书；</w:t>
      </w:r>
    </w:p>
    <w:p w14:paraId="552E0110">
      <w:pPr>
        <w:numPr>
          <w:ilvl w:val="1"/>
          <w:numId w:val="12"/>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质疑材料中有外文资料的，应一并附上中文译本，并以中文译本为准。</w:t>
      </w:r>
    </w:p>
    <w:p w14:paraId="7926C294">
      <w:pPr>
        <w:ind w:left="907"/>
        <w:rPr>
          <w:rFonts w:ascii="宋体" w:hAnsi="宋体" w:cs="宋体"/>
          <w:color w:val="000000" w:themeColor="text1"/>
          <w:sz w:val="22"/>
          <w:szCs w:val="22"/>
          <w:highlight w:val="none"/>
          <w14:textFill>
            <w14:solidFill>
              <w14:schemeClr w14:val="tx1"/>
            </w14:solidFill>
          </w14:textFill>
        </w:rPr>
      </w:pPr>
    </w:p>
    <w:p w14:paraId="3BB27ACE">
      <w:pPr>
        <w:numPr>
          <w:ilvl w:val="0"/>
          <w:numId w:val="11"/>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受理质疑办理程序</w:t>
      </w:r>
    </w:p>
    <w:p w14:paraId="043208FF">
      <w:pPr>
        <w:numPr>
          <w:ilvl w:val="1"/>
          <w:numId w:val="12"/>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先与质疑供应商进行沟通，以消除因误解或对采购规则和程序的不了解而引起的质疑。对沟通情况满意的，供应商撤回质疑，质疑处理程序终止。</w:t>
      </w:r>
    </w:p>
    <w:p w14:paraId="12E4B2B4">
      <w:pPr>
        <w:numPr>
          <w:ilvl w:val="1"/>
          <w:numId w:val="12"/>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处理质疑一般进行书面审查；必要时听取各方当事人的陈述和申辩、进行相关调查；组织原评审委员会或谈判小组进行复议。</w:t>
      </w:r>
    </w:p>
    <w:p w14:paraId="658EAA41">
      <w:pPr>
        <w:numPr>
          <w:ilvl w:val="1"/>
          <w:numId w:val="12"/>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在质疑处理期间，采购代理机构视情形决定暂停采购活动。</w:t>
      </w:r>
    </w:p>
    <w:p w14:paraId="2367E7E3">
      <w:pPr>
        <w:numPr>
          <w:ilvl w:val="1"/>
          <w:numId w:val="12"/>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采购代理机构原则上在质疑受理之日起七个工作日内书面答复质疑供应商。答复函以直接领取、传真或邮寄方式送达。</w:t>
      </w:r>
    </w:p>
    <w:p w14:paraId="7EC1A217">
      <w:pPr>
        <w:numPr>
          <w:ilvl w:val="1"/>
          <w:numId w:val="12"/>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供应商向采购代理机构提出质疑后，在质疑处理期限内，不得同时向其他方面提起同一质疑。</w:t>
      </w:r>
    </w:p>
    <w:p w14:paraId="14702833">
      <w:pPr>
        <w:ind w:left="907"/>
        <w:rPr>
          <w:rFonts w:ascii="宋体" w:hAnsi="宋体" w:cs="宋体"/>
          <w:color w:val="000000" w:themeColor="text1"/>
          <w:sz w:val="22"/>
          <w:szCs w:val="22"/>
          <w:highlight w:val="none"/>
          <w14:textFill>
            <w14:solidFill>
              <w14:schemeClr w14:val="tx1"/>
            </w14:solidFill>
          </w14:textFill>
        </w:rPr>
      </w:pPr>
    </w:p>
    <w:p w14:paraId="7DA77F12">
      <w:pPr>
        <w:numPr>
          <w:ilvl w:val="0"/>
          <w:numId w:val="11"/>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相关责任与义务</w:t>
      </w:r>
    </w:p>
    <w:p w14:paraId="313A8CF2">
      <w:pPr>
        <w:numPr>
          <w:ilvl w:val="1"/>
          <w:numId w:val="12"/>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采购单位、评标专家和相关供应商等当事人应积极配合政府采购代理机构进行质疑调查，如实反映情况，及时提供证明材料。</w:t>
      </w:r>
    </w:p>
    <w:p w14:paraId="17708923">
      <w:pPr>
        <w:numPr>
          <w:ilvl w:val="1"/>
          <w:numId w:val="12"/>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质疑供应商有下列情形之一的，属于虚假、恶意质疑，并视情节提请政府采购监督管理部门给予一定年限内禁止参与政府采购活动资格或其他处罚：</w:t>
      </w:r>
    </w:p>
    <w:p w14:paraId="7564393F">
      <w:pPr>
        <w:numPr>
          <w:ilvl w:val="1"/>
          <w:numId w:val="12"/>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捏造事实或提供虚假证明材料的；</w:t>
      </w:r>
    </w:p>
    <w:p w14:paraId="162E4A5D">
      <w:pPr>
        <w:numPr>
          <w:ilvl w:val="1"/>
          <w:numId w:val="12"/>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假冒他人名义进行质疑的；</w:t>
      </w:r>
    </w:p>
    <w:p w14:paraId="13C9C862">
      <w:pPr>
        <w:numPr>
          <w:ilvl w:val="1"/>
          <w:numId w:val="12"/>
        </w:numPr>
        <w:ind w:left="950" w:hanging="950" w:hangingChars="43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拒不配合进行有关调查、情节严重的。</w:t>
      </w:r>
    </w:p>
    <w:p w14:paraId="08000F5B">
      <w:pPr>
        <w:rPr>
          <w:rFonts w:ascii="宋体" w:hAnsi="宋体" w:cs="宋体"/>
          <w:b/>
          <w:sz w:val="52"/>
          <w:szCs w:val="52"/>
          <w:highlight w:val="none"/>
        </w:rPr>
      </w:pPr>
    </w:p>
    <w:p w14:paraId="54140B17">
      <w:pPr>
        <w:rPr>
          <w:rFonts w:ascii="宋体" w:hAnsi="宋体" w:cs="宋体"/>
          <w:b/>
          <w:sz w:val="52"/>
          <w:szCs w:val="52"/>
          <w:highlight w:val="none"/>
        </w:rPr>
      </w:pPr>
    </w:p>
    <w:p w14:paraId="3C0232C5">
      <w:pPr>
        <w:rPr>
          <w:rFonts w:ascii="宋体" w:hAnsi="宋体" w:cs="宋体"/>
          <w:b/>
          <w:sz w:val="52"/>
          <w:szCs w:val="52"/>
          <w:highlight w:val="none"/>
        </w:rPr>
      </w:pPr>
    </w:p>
    <w:p w14:paraId="5DA65394">
      <w:pPr>
        <w:rPr>
          <w:rFonts w:ascii="宋体" w:hAnsi="宋体" w:cs="宋体"/>
          <w:b/>
          <w:sz w:val="52"/>
          <w:szCs w:val="52"/>
          <w:highlight w:val="none"/>
        </w:rPr>
      </w:pPr>
    </w:p>
    <w:p w14:paraId="06A327E0">
      <w:pPr>
        <w:rPr>
          <w:rFonts w:ascii="宋体" w:hAnsi="宋体" w:cs="宋体"/>
          <w:b/>
          <w:sz w:val="52"/>
          <w:szCs w:val="52"/>
          <w:highlight w:val="none"/>
        </w:rPr>
      </w:pPr>
    </w:p>
    <w:p w14:paraId="109F241C">
      <w:pPr>
        <w:rPr>
          <w:rFonts w:ascii="宋体" w:hAnsi="宋体" w:cs="宋体"/>
          <w:b/>
          <w:sz w:val="52"/>
          <w:szCs w:val="52"/>
          <w:highlight w:val="none"/>
        </w:rPr>
      </w:pPr>
    </w:p>
    <w:p w14:paraId="2608EF27">
      <w:pPr>
        <w:rPr>
          <w:rFonts w:ascii="宋体" w:hAnsi="宋体" w:cs="宋体"/>
          <w:b/>
          <w:sz w:val="52"/>
          <w:szCs w:val="52"/>
          <w:highlight w:val="none"/>
        </w:rPr>
      </w:pPr>
    </w:p>
    <w:p w14:paraId="67670C29">
      <w:pPr>
        <w:rPr>
          <w:rFonts w:ascii="宋体" w:hAnsi="宋体" w:cs="宋体"/>
          <w:b/>
          <w:sz w:val="52"/>
          <w:szCs w:val="52"/>
          <w:highlight w:val="none"/>
        </w:rPr>
      </w:pPr>
      <w:r>
        <w:rPr>
          <w:rFonts w:hint="eastAsia" w:ascii="宋体" w:hAnsi="宋体" w:cs="宋体"/>
          <w:b/>
          <w:sz w:val="52"/>
          <w:szCs w:val="52"/>
          <w:highlight w:val="none"/>
        </w:rPr>
        <w:t xml:space="preserve">  </w:t>
      </w:r>
    </w:p>
    <w:p w14:paraId="69B50254">
      <w:pPr>
        <w:pStyle w:val="2"/>
        <w:rPr>
          <w:rFonts w:ascii="宋体" w:hAnsi="宋体" w:eastAsia="宋体" w:cs="宋体"/>
          <w:b/>
          <w:sz w:val="52"/>
          <w:szCs w:val="52"/>
          <w:highlight w:val="none"/>
        </w:rPr>
      </w:pPr>
      <w:r>
        <w:rPr>
          <w:rFonts w:hint="eastAsia" w:ascii="宋体" w:hAnsi="宋体" w:cs="宋体"/>
          <w:b/>
          <w:sz w:val="52"/>
          <w:szCs w:val="52"/>
          <w:highlight w:val="none"/>
        </w:rPr>
        <w:t xml:space="preserve"> 第三</w:t>
      </w:r>
      <w:r>
        <w:rPr>
          <w:rFonts w:hint="eastAsia" w:ascii="宋体" w:hAnsi="宋体" w:eastAsia="宋体" w:cs="宋体"/>
          <w:b/>
          <w:sz w:val="52"/>
          <w:szCs w:val="52"/>
          <w:highlight w:val="none"/>
        </w:rPr>
        <w:t>册  附件</w:t>
      </w:r>
    </w:p>
    <w:p w14:paraId="372B7044">
      <w:pPr>
        <w:rPr>
          <w:rFonts w:ascii="宋体" w:hAnsi="宋体" w:cs="宋体"/>
          <w:sz w:val="22"/>
          <w:szCs w:val="22"/>
          <w:highlight w:val="none"/>
        </w:rPr>
      </w:pPr>
    </w:p>
    <w:p w14:paraId="426D4766">
      <w:pPr>
        <w:pStyle w:val="4"/>
        <w:numPr>
          <w:ilvl w:val="0"/>
          <w:numId w:val="16"/>
        </w:numPr>
        <w:spacing w:before="0" w:after="0"/>
        <w:jc w:val="center"/>
        <w:rPr>
          <w:highlight w:val="none"/>
        </w:rPr>
      </w:pPr>
      <w:r>
        <w:rPr>
          <w:rFonts w:hint="eastAsia" w:cs="宋体"/>
          <w:szCs w:val="21"/>
          <w:highlight w:val="none"/>
        </w:rPr>
        <w:br w:type="page"/>
      </w:r>
      <w:bookmarkStart w:id="231" w:name="_Toc73610162"/>
      <w:bookmarkStart w:id="232" w:name="_Toc73613644"/>
      <w:r>
        <w:rPr>
          <w:rFonts w:hint="eastAsia"/>
          <w:b/>
          <w:bCs/>
          <w:highlight w:val="none"/>
        </w:rPr>
        <w:t>财政部 工业和信息化部关于印发《政府采购促进中小企业发展管理办法》的通知</w:t>
      </w:r>
      <w:bookmarkEnd w:id="231"/>
      <w:bookmarkEnd w:id="232"/>
    </w:p>
    <w:p w14:paraId="48A265DC">
      <w:pPr>
        <w:rPr>
          <w:highlight w:val="none"/>
        </w:rPr>
      </w:pPr>
    </w:p>
    <w:p w14:paraId="6AF01727">
      <w:pPr>
        <w:rPr>
          <w:highlight w:val="none"/>
        </w:rPr>
      </w:pPr>
    </w:p>
    <w:p w14:paraId="7BEC30E0">
      <w:pPr>
        <w:pStyle w:val="19"/>
        <w:keepNext w:val="0"/>
        <w:keepLines w:val="0"/>
        <w:pageBreakBefore w:val="0"/>
        <w:widowControl w:val="0"/>
        <w:shd w:val="clear" w:color="auto" w:fill="FFFFFF"/>
        <w:kinsoku/>
        <w:wordWrap/>
        <w:overflowPunct/>
        <w:topLinePunct w:val="0"/>
        <w:autoSpaceDE/>
        <w:autoSpaceDN/>
        <w:bidi w:val="0"/>
        <w:adjustRightInd/>
        <w:snapToGrid/>
        <w:spacing w:line="360" w:lineRule="auto"/>
        <w:jc w:val="center"/>
        <w:textAlignment w:val="auto"/>
        <w:rPr>
          <w:rFonts w:ascii="宋体" w:hAnsi="宋体"/>
          <w:sz w:val="21"/>
          <w:szCs w:val="21"/>
          <w:highlight w:val="none"/>
        </w:rPr>
      </w:pPr>
      <w:r>
        <w:rPr>
          <w:rFonts w:hint="eastAsia" w:ascii="宋体" w:hAnsi="宋体"/>
          <w:sz w:val="21"/>
          <w:szCs w:val="21"/>
          <w:highlight w:val="none"/>
        </w:rPr>
        <w:t>财库〔2020〕46号</w:t>
      </w:r>
    </w:p>
    <w:p w14:paraId="296B341A">
      <w:pPr>
        <w:pStyle w:val="19"/>
        <w:keepNext w:val="0"/>
        <w:keepLines w:val="0"/>
        <w:pageBreakBefore w:val="0"/>
        <w:widowControl w:val="0"/>
        <w:shd w:val="clear" w:color="auto" w:fill="FFFFFF"/>
        <w:kinsoku/>
        <w:wordWrap/>
        <w:overflowPunct/>
        <w:topLinePunct w:val="0"/>
        <w:autoSpaceDE/>
        <w:autoSpaceDN/>
        <w:bidi w:val="0"/>
        <w:adjustRightInd/>
        <w:snapToGrid/>
        <w:spacing w:line="360" w:lineRule="auto"/>
        <w:textAlignment w:val="auto"/>
        <w:rPr>
          <w:rFonts w:ascii="宋体" w:hAnsi="宋体"/>
          <w:sz w:val="21"/>
          <w:szCs w:val="21"/>
          <w:highlight w:val="none"/>
        </w:rPr>
      </w:pPr>
      <w:r>
        <w:rPr>
          <w:rFonts w:hint="eastAsia" w:ascii="宋体" w:hAnsi="宋体"/>
          <w:sz w:val="21"/>
          <w:szCs w:val="21"/>
          <w:highlight w:val="none"/>
        </w:rPr>
        <w:t>各中央预算单位办公厅（室），各省、自治区、直辖市、计划单列市财政厅（局）、工业和信息化主管部门，新疆生产建设兵团财政局、工业和信息化主管部门：</w:t>
      </w:r>
    </w:p>
    <w:p w14:paraId="4E056FD2">
      <w:pPr>
        <w:pStyle w:val="19"/>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480"/>
        <w:textAlignment w:val="auto"/>
        <w:rPr>
          <w:rFonts w:ascii="宋体" w:hAnsi="宋体"/>
          <w:sz w:val="21"/>
          <w:szCs w:val="21"/>
          <w:highlight w:val="none"/>
        </w:rPr>
      </w:pPr>
      <w:r>
        <w:rPr>
          <w:rFonts w:hint="eastAsia" w:ascii="宋体" w:hAnsi="宋体"/>
          <w:sz w:val="21"/>
          <w:szCs w:val="21"/>
          <w:highlight w:val="none"/>
        </w:rPr>
        <w:t>为贯彻落实《关于促进中小企业健康发展的指导意见》，发挥政府采购政策功能，促进中小企业发展，根据《中华人民共和国政府采购法》、《中华人民共和国中小企业促进法》等法律法规，财政部、工业和信息化部制定了《政府采购促进中小企业发展管理办法》。现印发给你们，请遵照执行。</w:t>
      </w:r>
    </w:p>
    <w:p w14:paraId="79F27CD9">
      <w:pPr>
        <w:pStyle w:val="19"/>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480"/>
        <w:textAlignment w:val="auto"/>
        <w:rPr>
          <w:rFonts w:ascii="宋体" w:hAnsi="宋体"/>
          <w:sz w:val="21"/>
          <w:szCs w:val="21"/>
          <w:highlight w:val="none"/>
        </w:rPr>
      </w:pPr>
      <w:r>
        <w:rPr>
          <w:rFonts w:hint="eastAsia" w:ascii="宋体" w:hAnsi="宋体"/>
          <w:sz w:val="21"/>
          <w:szCs w:val="21"/>
          <w:highlight w:val="none"/>
        </w:rPr>
        <w:t>附件：政府采购促进中小企业发展管理办法</w:t>
      </w:r>
    </w:p>
    <w:p w14:paraId="7FEABBDD">
      <w:pPr>
        <w:pStyle w:val="19"/>
        <w:keepNext w:val="0"/>
        <w:keepLines w:val="0"/>
        <w:pageBreakBefore w:val="0"/>
        <w:widowControl w:val="0"/>
        <w:shd w:val="clear" w:color="auto" w:fill="FFFFFF"/>
        <w:kinsoku/>
        <w:wordWrap/>
        <w:overflowPunct/>
        <w:topLinePunct w:val="0"/>
        <w:autoSpaceDE/>
        <w:autoSpaceDN/>
        <w:bidi w:val="0"/>
        <w:adjustRightInd/>
        <w:snapToGrid/>
        <w:spacing w:line="360" w:lineRule="auto"/>
        <w:jc w:val="right"/>
        <w:textAlignment w:val="auto"/>
        <w:rPr>
          <w:rFonts w:ascii="宋体" w:hAnsi="宋体"/>
          <w:sz w:val="21"/>
          <w:szCs w:val="21"/>
          <w:highlight w:val="none"/>
        </w:rPr>
      </w:pPr>
      <w:r>
        <w:rPr>
          <w:rFonts w:hint="eastAsia" w:ascii="宋体" w:hAnsi="宋体"/>
          <w:sz w:val="21"/>
          <w:szCs w:val="21"/>
          <w:highlight w:val="none"/>
        </w:rPr>
        <w:t>财　　政　　部</w:t>
      </w:r>
    </w:p>
    <w:p w14:paraId="678B891C">
      <w:pPr>
        <w:pStyle w:val="19"/>
        <w:keepNext w:val="0"/>
        <w:keepLines w:val="0"/>
        <w:pageBreakBefore w:val="0"/>
        <w:widowControl w:val="0"/>
        <w:shd w:val="clear" w:color="auto" w:fill="FFFFFF"/>
        <w:kinsoku/>
        <w:wordWrap/>
        <w:overflowPunct/>
        <w:topLinePunct w:val="0"/>
        <w:autoSpaceDE/>
        <w:autoSpaceDN/>
        <w:bidi w:val="0"/>
        <w:adjustRightInd/>
        <w:snapToGrid/>
        <w:spacing w:line="360" w:lineRule="auto"/>
        <w:jc w:val="right"/>
        <w:textAlignment w:val="auto"/>
        <w:rPr>
          <w:rFonts w:ascii="宋体" w:hAnsi="宋体"/>
          <w:sz w:val="21"/>
          <w:szCs w:val="21"/>
          <w:highlight w:val="none"/>
        </w:rPr>
      </w:pPr>
      <w:r>
        <w:rPr>
          <w:rFonts w:hint="eastAsia" w:ascii="宋体" w:hAnsi="宋体"/>
          <w:sz w:val="21"/>
          <w:szCs w:val="21"/>
          <w:highlight w:val="none"/>
        </w:rPr>
        <w:t>工业和信息化部</w:t>
      </w:r>
    </w:p>
    <w:p w14:paraId="2B262B44">
      <w:pPr>
        <w:pStyle w:val="19"/>
        <w:keepNext w:val="0"/>
        <w:keepLines w:val="0"/>
        <w:pageBreakBefore w:val="0"/>
        <w:widowControl w:val="0"/>
        <w:shd w:val="clear" w:color="auto" w:fill="FFFFFF"/>
        <w:kinsoku/>
        <w:wordWrap/>
        <w:overflowPunct/>
        <w:topLinePunct w:val="0"/>
        <w:autoSpaceDE/>
        <w:autoSpaceDN/>
        <w:bidi w:val="0"/>
        <w:adjustRightInd/>
        <w:snapToGrid/>
        <w:spacing w:line="360" w:lineRule="auto"/>
        <w:jc w:val="right"/>
        <w:textAlignment w:val="auto"/>
        <w:rPr>
          <w:rFonts w:ascii="宋体" w:hAnsi="宋体"/>
          <w:sz w:val="21"/>
          <w:szCs w:val="21"/>
          <w:highlight w:val="none"/>
        </w:rPr>
      </w:pPr>
      <w:r>
        <w:rPr>
          <w:rFonts w:hint="eastAsia" w:ascii="宋体" w:hAnsi="宋体"/>
          <w:sz w:val="21"/>
          <w:szCs w:val="21"/>
          <w:highlight w:val="none"/>
        </w:rPr>
        <w:t>2020年12月18日</w:t>
      </w:r>
    </w:p>
    <w:p w14:paraId="7CBD286A">
      <w:pPr>
        <w:pStyle w:val="19"/>
        <w:shd w:val="clear" w:color="auto" w:fill="FFFFFF"/>
        <w:spacing w:line="360" w:lineRule="auto"/>
        <w:ind w:firstLine="480"/>
        <w:rPr>
          <w:rFonts w:ascii="宋体" w:hAnsi="宋体"/>
          <w:sz w:val="21"/>
          <w:szCs w:val="21"/>
          <w:highlight w:val="none"/>
        </w:rPr>
      </w:pPr>
    </w:p>
    <w:p w14:paraId="41F83382">
      <w:pPr>
        <w:pStyle w:val="19"/>
        <w:shd w:val="clear" w:color="auto" w:fill="FFFFFF"/>
        <w:spacing w:line="360" w:lineRule="auto"/>
        <w:rPr>
          <w:rFonts w:ascii="宋体" w:hAnsi="宋体"/>
          <w:sz w:val="21"/>
          <w:szCs w:val="21"/>
          <w:highlight w:val="none"/>
        </w:rPr>
      </w:pPr>
      <w:r>
        <w:rPr>
          <w:rFonts w:hint="eastAsia" w:ascii="宋体" w:hAnsi="宋体"/>
          <w:b/>
          <w:bCs/>
          <w:sz w:val="21"/>
          <w:szCs w:val="21"/>
          <w:highlight w:val="none"/>
        </w:rPr>
        <w:t>附件</w:t>
      </w:r>
    </w:p>
    <w:p w14:paraId="2B3676C3">
      <w:pPr>
        <w:pStyle w:val="19"/>
        <w:shd w:val="clear" w:color="auto" w:fill="FFFFFF"/>
        <w:spacing w:line="360" w:lineRule="auto"/>
        <w:ind w:firstLine="480"/>
        <w:rPr>
          <w:rFonts w:ascii="宋体" w:hAnsi="宋体"/>
          <w:sz w:val="21"/>
          <w:szCs w:val="21"/>
          <w:highlight w:val="none"/>
        </w:rPr>
      </w:pPr>
    </w:p>
    <w:p w14:paraId="37F2C99F">
      <w:pPr>
        <w:pStyle w:val="19"/>
        <w:shd w:val="clear" w:color="auto" w:fill="FFFFFF"/>
        <w:spacing w:line="360" w:lineRule="auto"/>
        <w:jc w:val="center"/>
        <w:rPr>
          <w:rFonts w:ascii="宋体" w:hAnsi="宋体"/>
          <w:sz w:val="21"/>
          <w:szCs w:val="21"/>
          <w:highlight w:val="none"/>
        </w:rPr>
      </w:pPr>
      <w:r>
        <w:rPr>
          <w:rFonts w:hint="eastAsia" w:ascii="宋体" w:hAnsi="宋体"/>
          <w:b/>
          <w:bCs/>
          <w:sz w:val="21"/>
          <w:szCs w:val="21"/>
          <w:highlight w:val="none"/>
        </w:rPr>
        <w:t>政府采购促进中小企业发展管理办法</w:t>
      </w:r>
    </w:p>
    <w:p w14:paraId="4DE852A3">
      <w:pPr>
        <w:pStyle w:val="19"/>
        <w:shd w:val="clear" w:color="auto" w:fill="FFFFFF"/>
        <w:spacing w:line="360" w:lineRule="auto"/>
        <w:ind w:firstLine="480"/>
        <w:rPr>
          <w:rFonts w:ascii="宋体" w:hAnsi="宋体"/>
          <w:sz w:val="21"/>
          <w:szCs w:val="21"/>
          <w:highlight w:val="none"/>
        </w:rPr>
      </w:pPr>
    </w:p>
    <w:p w14:paraId="5D8DC949">
      <w:pPr>
        <w:pStyle w:val="19"/>
        <w:shd w:val="clear" w:color="auto" w:fill="FFFFFF"/>
        <w:spacing w:line="360" w:lineRule="auto"/>
        <w:ind w:firstLine="480"/>
        <w:rPr>
          <w:rFonts w:ascii="宋体" w:hAnsi="宋体"/>
          <w:sz w:val="21"/>
          <w:szCs w:val="21"/>
          <w:highlight w:val="none"/>
        </w:rPr>
      </w:pPr>
      <w:r>
        <w:rPr>
          <w:rFonts w:hint="eastAsia" w:ascii="宋体" w:hAnsi="宋体"/>
          <w:b/>
          <w:bCs/>
          <w:sz w:val="21"/>
          <w:szCs w:val="21"/>
          <w:highlight w:val="none"/>
        </w:rPr>
        <w:t>第一条</w:t>
      </w:r>
      <w:r>
        <w:rPr>
          <w:rFonts w:hint="eastAsia" w:ascii="宋体" w:hAnsi="宋体"/>
          <w:sz w:val="21"/>
          <w:szCs w:val="21"/>
          <w:highlight w:val="none"/>
        </w:rPr>
        <w:t>　为了发挥政府采购的政策功能，促进中小企业健康发展，根据《中华人民共和国政府采购法》、《中华人民共和国中小企业促进法》等有关法律法规，制定本办法。</w:t>
      </w:r>
    </w:p>
    <w:p w14:paraId="5D38F9CC">
      <w:pPr>
        <w:pStyle w:val="19"/>
        <w:shd w:val="clear" w:color="auto" w:fill="FFFFFF"/>
        <w:spacing w:line="360" w:lineRule="auto"/>
        <w:ind w:firstLine="480"/>
        <w:rPr>
          <w:rFonts w:ascii="宋体" w:hAnsi="宋体"/>
          <w:sz w:val="21"/>
          <w:szCs w:val="21"/>
          <w:highlight w:val="none"/>
        </w:rPr>
      </w:pPr>
      <w:r>
        <w:rPr>
          <w:rFonts w:hint="eastAsia" w:ascii="宋体" w:hAnsi="宋体"/>
          <w:b/>
          <w:bCs/>
          <w:sz w:val="21"/>
          <w:szCs w:val="21"/>
          <w:highlight w:val="none"/>
        </w:rPr>
        <w:t>第二条</w:t>
      </w:r>
      <w:r>
        <w:rPr>
          <w:rFonts w:hint="eastAsia" w:ascii="宋体" w:hAnsi="宋体"/>
          <w:sz w:val="21"/>
          <w:szCs w:val="21"/>
          <w:highlight w:val="none"/>
        </w:rPr>
        <w:t>　本办法所称中小企业，是指在中华人民共和国境内依法设立，依据国务院批准的中小企业划分标准确定的中型企业、小型企业和微型企业，但与大企业的负责人为同一人，或者与大企业存在直接控股、管理关系的除外。</w:t>
      </w:r>
    </w:p>
    <w:p w14:paraId="32BDF1D2">
      <w:pPr>
        <w:pStyle w:val="19"/>
        <w:shd w:val="clear" w:color="auto" w:fill="FFFFFF"/>
        <w:spacing w:line="360" w:lineRule="auto"/>
        <w:ind w:firstLine="480"/>
        <w:rPr>
          <w:rFonts w:ascii="宋体" w:hAnsi="宋体"/>
          <w:sz w:val="21"/>
          <w:szCs w:val="21"/>
          <w:highlight w:val="none"/>
        </w:rPr>
      </w:pPr>
      <w:r>
        <w:rPr>
          <w:rFonts w:hint="eastAsia" w:ascii="宋体" w:hAnsi="宋体"/>
          <w:sz w:val="21"/>
          <w:szCs w:val="21"/>
          <w:highlight w:val="none"/>
        </w:rPr>
        <w:t>符合中小企业划分标准的个体工商户，在政府采购活动中视同中小企业。</w:t>
      </w:r>
    </w:p>
    <w:p w14:paraId="45E1995A">
      <w:pPr>
        <w:pStyle w:val="19"/>
        <w:shd w:val="clear" w:color="auto" w:fill="FFFFFF"/>
        <w:spacing w:line="360" w:lineRule="auto"/>
        <w:ind w:firstLine="480"/>
        <w:rPr>
          <w:rFonts w:ascii="宋体" w:hAnsi="宋体"/>
          <w:sz w:val="21"/>
          <w:szCs w:val="21"/>
          <w:highlight w:val="none"/>
        </w:rPr>
      </w:pPr>
      <w:r>
        <w:rPr>
          <w:rFonts w:hint="eastAsia" w:ascii="宋体" w:hAnsi="宋体"/>
          <w:b/>
          <w:bCs/>
          <w:sz w:val="21"/>
          <w:szCs w:val="21"/>
          <w:highlight w:val="none"/>
        </w:rPr>
        <w:t>第三条</w:t>
      </w:r>
      <w:r>
        <w:rPr>
          <w:rFonts w:hint="eastAsia" w:ascii="宋体" w:hAnsi="宋体"/>
          <w:sz w:val="21"/>
          <w:szCs w:val="21"/>
          <w:highlight w:val="none"/>
        </w:rPr>
        <w:t>　采购人在政府采购活动中应当通过加强采购需求管理，落实预留采购份额、价格评审优惠、优先采购等措施，提高中小企业在政府采购中的份额，支持中小企业发展。</w:t>
      </w:r>
    </w:p>
    <w:p w14:paraId="0B3DEF31">
      <w:pPr>
        <w:pStyle w:val="19"/>
        <w:shd w:val="clear" w:color="auto" w:fill="FFFFFF"/>
        <w:spacing w:line="360" w:lineRule="auto"/>
        <w:ind w:firstLine="480"/>
        <w:rPr>
          <w:rFonts w:ascii="宋体" w:hAnsi="宋体"/>
          <w:sz w:val="21"/>
          <w:szCs w:val="21"/>
          <w:highlight w:val="none"/>
        </w:rPr>
      </w:pPr>
      <w:r>
        <w:rPr>
          <w:rFonts w:hint="eastAsia" w:ascii="宋体" w:hAnsi="宋体"/>
          <w:b/>
          <w:bCs/>
          <w:sz w:val="21"/>
          <w:szCs w:val="21"/>
          <w:highlight w:val="none"/>
        </w:rPr>
        <w:t>第四条</w:t>
      </w:r>
      <w:r>
        <w:rPr>
          <w:rFonts w:hint="eastAsia" w:ascii="宋体" w:hAnsi="宋体"/>
          <w:sz w:val="21"/>
          <w:szCs w:val="21"/>
          <w:highlight w:val="none"/>
        </w:rPr>
        <w:t>　在政府采购活动中，供应商提供的货物、工程或者服务符合下列情形的，享受本办法规定的中小企业扶持政策：</w:t>
      </w:r>
    </w:p>
    <w:p w14:paraId="27F6598E">
      <w:pPr>
        <w:pStyle w:val="19"/>
        <w:shd w:val="clear" w:color="auto" w:fill="FFFFFF"/>
        <w:spacing w:line="360" w:lineRule="auto"/>
        <w:ind w:firstLine="480"/>
        <w:rPr>
          <w:rFonts w:ascii="宋体" w:hAnsi="宋体"/>
          <w:sz w:val="21"/>
          <w:szCs w:val="21"/>
          <w:highlight w:val="none"/>
        </w:rPr>
      </w:pPr>
      <w:r>
        <w:rPr>
          <w:rFonts w:hint="eastAsia" w:ascii="宋体" w:hAnsi="宋体"/>
          <w:sz w:val="21"/>
          <w:szCs w:val="21"/>
          <w:highlight w:val="none"/>
        </w:rPr>
        <w:t>（一）在货物采购项目中，货物由中小企业制造，即货物由中小企业生产且使用该中小企业商号或者注册商标；</w:t>
      </w:r>
    </w:p>
    <w:p w14:paraId="47012720">
      <w:pPr>
        <w:pStyle w:val="19"/>
        <w:shd w:val="clear" w:color="auto" w:fill="FFFFFF"/>
        <w:spacing w:line="360" w:lineRule="auto"/>
        <w:ind w:firstLine="480"/>
        <w:rPr>
          <w:rFonts w:ascii="宋体" w:hAnsi="宋体"/>
          <w:sz w:val="21"/>
          <w:szCs w:val="21"/>
          <w:highlight w:val="none"/>
        </w:rPr>
      </w:pPr>
      <w:r>
        <w:rPr>
          <w:rFonts w:hint="eastAsia" w:ascii="宋体" w:hAnsi="宋体"/>
          <w:sz w:val="21"/>
          <w:szCs w:val="21"/>
          <w:highlight w:val="none"/>
        </w:rPr>
        <w:t>（二）在工程采购项目中，工程由中小企业承建，即工程施工单位为中小企业；</w:t>
      </w:r>
    </w:p>
    <w:p w14:paraId="1BFE4ABC">
      <w:pPr>
        <w:pStyle w:val="19"/>
        <w:shd w:val="clear" w:color="auto" w:fill="FFFFFF"/>
        <w:spacing w:line="360" w:lineRule="auto"/>
        <w:ind w:firstLine="480"/>
        <w:rPr>
          <w:rFonts w:ascii="宋体" w:hAnsi="宋体"/>
          <w:sz w:val="21"/>
          <w:szCs w:val="21"/>
          <w:highlight w:val="none"/>
        </w:rPr>
      </w:pPr>
      <w:r>
        <w:rPr>
          <w:rFonts w:hint="eastAsia" w:ascii="宋体" w:hAnsi="宋体"/>
          <w:sz w:val="21"/>
          <w:szCs w:val="21"/>
          <w:highlight w:val="none"/>
        </w:rPr>
        <w:t>（三）在服务采购项目中，服务由中小企业承接，即提供服务的人员为中小企业依照《中华人民共和国劳动合同法》订立劳动合同的从业人员。</w:t>
      </w:r>
    </w:p>
    <w:p w14:paraId="3551BAF3">
      <w:pPr>
        <w:pStyle w:val="19"/>
        <w:shd w:val="clear" w:color="auto" w:fill="FFFFFF"/>
        <w:spacing w:line="360" w:lineRule="auto"/>
        <w:ind w:firstLine="480"/>
        <w:rPr>
          <w:rFonts w:ascii="宋体" w:hAnsi="宋体"/>
          <w:sz w:val="21"/>
          <w:szCs w:val="21"/>
          <w:highlight w:val="none"/>
        </w:rPr>
      </w:pPr>
      <w:r>
        <w:rPr>
          <w:rFonts w:hint="eastAsia" w:ascii="宋体" w:hAnsi="宋体"/>
          <w:sz w:val="21"/>
          <w:szCs w:val="21"/>
          <w:highlight w:val="none"/>
        </w:rPr>
        <w:t>在货物采购项目中，供应商提供的货物既有中小企业制造货物，也有大型企业制造货物的，不享受本办法规定的中小企业扶持政策。</w:t>
      </w:r>
    </w:p>
    <w:p w14:paraId="539FF911">
      <w:pPr>
        <w:pStyle w:val="19"/>
        <w:shd w:val="clear" w:color="auto" w:fill="FFFFFF"/>
        <w:spacing w:line="360" w:lineRule="auto"/>
        <w:ind w:firstLine="480"/>
        <w:rPr>
          <w:rFonts w:ascii="宋体" w:hAnsi="宋体"/>
          <w:sz w:val="21"/>
          <w:szCs w:val="21"/>
          <w:highlight w:val="none"/>
        </w:rPr>
      </w:pPr>
      <w:r>
        <w:rPr>
          <w:rFonts w:hint="eastAsia" w:ascii="宋体" w:hAnsi="宋体"/>
          <w:sz w:val="21"/>
          <w:szCs w:val="21"/>
          <w:highlight w:val="none"/>
        </w:rPr>
        <w:t>以联合体形式参加政府采购活动，联合体各方均为中小企业的，联合体视同中小企业。其中，联合体各方均为小微企业的，联合体视同小微企业。</w:t>
      </w:r>
    </w:p>
    <w:p w14:paraId="734EA78F">
      <w:pPr>
        <w:pStyle w:val="19"/>
        <w:shd w:val="clear" w:color="auto" w:fill="FFFFFF"/>
        <w:spacing w:line="360" w:lineRule="auto"/>
        <w:ind w:firstLine="480"/>
        <w:rPr>
          <w:rFonts w:ascii="宋体" w:hAnsi="宋体"/>
          <w:sz w:val="21"/>
          <w:szCs w:val="21"/>
          <w:highlight w:val="none"/>
        </w:rPr>
      </w:pPr>
      <w:r>
        <w:rPr>
          <w:rFonts w:hint="eastAsia" w:ascii="宋体" w:hAnsi="宋体"/>
          <w:b/>
          <w:bCs/>
          <w:sz w:val="21"/>
          <w:szCs w:val="21"/>
          <w:highlight w:val="none"/>
        </w:rPr>
        <w:t>第五条</w:t>
      </w:r>
      <w:r>
        <w:rPr>
          <w:rFonts w:hint="eastAsia" w:ascii="宋体" w:hAnsi="宋体"/>
          <w:sz w:val="21"/>
          <w:szCs w:val="21"/>
          <w:highlight w:val="none"/>
        </w:rPr>
        <w:t>　采购人在政府采购活动中应当合理确定采购项目的采购需求，不得以企业注册资本、资产总额、营业收入、从业人员、利润、纳税额等规模条件和财务指标作为供应商的资格要求或者评审因素，不得在企业股权结构、经营年限等方面对中小企业实行差别待遇或者歧视待遇。</w:t>
      </w:r>
    </w:p>
    <w:p w14:paraId="20871440">
      <w:pPr>
        <w:pStyle w:val="19"/>
        <w:shd w:val="clear" w:color="auto" w:fill="FFFFFF"/>
        <w:spacing w:line="360" w:lineRule="auto"/>
        <w:ind w:firstLine="480"/>
        <w:rPr>
          <w:rFonts w:ascii="宋体" w:hAnsi="宋体"/>
          <w:sz w:val="21"/>
          <w:szCs w:val="21"/>
          <w:highlight w:val="none"/>
        </w:rPr>
      </w:pPr>
      <w:r>
        <w:rPr>
          <w:rFonts w:hint="eastAsia" w:ascii="宋体" w:hAnsi="宋体"/>
          <w:b/>
          <w:bCs/>
          <w:sz w:val="21"/>
          <w:szCs w:val="21"/>
          <w:highlight w:val="none"/>
        </w:rPr>
        <w:t>第六条</w:t>
      </w:r>
      <w:r>
        <w:rPr>
          <w:rFonts w:hint="eastAsia" w:ascii="宋体" w:hAnsi="宋体"/>
          <w:sz w:val="21"/>
          <w:szCs w:val="21"/>
          <w:highlight w:val="none"/>
        </w:rPr>
        <w:t>　主管预算单位应当组织评估本部门及所属单位政府采购项目，统筹制定面向中小企业预留采购份额的具体方案，对适宜由中小企业提供的采购项目和采购包，预留采购份额专门面向中小企业采购，并在政府采购预算中单独列示。</w:t>
      </w:r>
    </w:p>
    <w:p w14:paraId="1B4BAA4D">
      <w:pPr>
        <w:pStyle w:val="19"/>
        <w:shd w:val="clear" w:color="auto" w:fill="FFFFFF"/>
        <w:spacing w:line="360" w:lineRule="auto"/>
        <w:ind w:firstLine="480"/>
        <w:rPr>
          <w:rFonts w:ascii="宋体" w:hAnsi="宋体"/>
          <w:sz w:val="21"/>
          <w:szCs w:val="21"/>
          <w:highlight w:val="none"/>
        </w:rPr>
      </w:pPr>
      <w:r>
        <w:rPr>
          <w:rFonts w:hint="eastAsia" w:ascii="宋体" w:hAnsi="宋体"/>
          <w:sz w:val="21"/>
          <w:szCs w:val="21"/>
          <w:highlight w:val="none"/>
        </w:rPr>
        <w:t>符合下列情形之一的，可不专门面向中小企业预留采购份额：</w:t>
      </w:r>
    </w:p>
    <w:p w14:paraId="3F139A52">
      <w:pPr>
        <w:pStyle w:val="19"/>
        <w:shd w:val="clear" w:color="auto" w:fill="FFFFFF"/>
        <w:spacing w:line="360" w:lineRule="auto"/>
        <w:ind w:firstLine="480"/>
        <w:rPr>
          <w:rFonts w:ascii="宋体" w:hAnsi="宋体"/>
          <w:sz w:val="21"/>
          <w:szCs w:val="21"/>
          <w:highlight w:val="none"/>
        </w:rPr>
      </w:pPr>
      <w:r>
        <w:rPr>
          <w:rFonts w:hint="eastAsia" w:ascii="宋体" w:hAnsi="宋体"/>
          <w:sz w:val="21"/>
          <w:szCs w:val="21"/>
          <w:highlight w:val="none"/>
        </w:rPr>
        <w:t>（一）法律法规和国家有关政策明确规定优先或者应当面向事业单位、社会组织等非企业主体采购的；</w:t>
      </w:r>
    </w:p>
    <w:p w14:paraId="4D5BE13C">
      <w:pPr>
        <w:pStyle w:val="19"/>
        <w:shd w:val="clear" w:color="auto" w:fill="FFFFFF"/>
        <w:spacing w:line="360" w:lineRule="auto"/>
        <w:ind w:firstLine="480"/>
        <w:rPr>
          <w:rFonts w:ascii="宋体" w:hAnsi="宋体"/>
          <w:sz w:val="21"/>
          <w:szCs w:val="21"/>
          <w:highlight w:val="none"/>
        </w:rPr>
      </w:pPr>
      <w:r>
        <w:rPr>
          <w:rFonts w:hint="eastAsia" w:ascii="宋体" w:hAnsi="宋体"/>
          <w:sz w:val="21"/>
          <w:szCs w:val="21"/>
          <w:highlight w:val="none"/>
        </w:rPr>
        <w:t>（二）因确需使用不可替代的专利、专有技术，基础设施限制，或者提供特定公共服务等原因，只能从中小企业之外的供应商处采购的；</w:t>
      </w:r>
    </w:p>
    <w:p w14:paraId="328ABE8F">
      <w:pPr>
        <w:pStyle w:val="19"/>
        <w:shd w:val="clear" w:color="auto" w:fill="FFFFFF"/>
        <w:spacing w:line="360" w:lineRule="auto"/>
        <w:ind w:firstLine="480"/>
        <w:rPr>
          <w:rFonts w:ascii="宋体" w:hAnsi="宋体"/>
          <w:sz w:val="21"/>
          <w:szCs w:val="21"/>
          <w:highlight w:val="none"/>
        </w:rPr>
      </w:pPr>
      <w:r>
        <w:rPr>
          <w:rFonts w:hint="eastAsia" w:ascii="宋体" w:hAnsi="宋体"/>
          <w:sz w:val="21"/>
          <w:szCs w:val="21"/>
          <w:highlight w:val="none"/>
        </w:rPr>
        <w:t>（三）按照本办法规定预留采购份额无法确保充分供应、充分竞争，或者存在可能影响政府采购目标实现的情形；</w:t>
      </w:r>
    </w:p>
    <w:p w14:paraId="7599745E">
      <w:pPr>
        <w:pStyle w:val="19"/>
        <w:shd w:val="clear" w:color="auto" w:fill="FFFFFF"/>
        <w:spacing w:line="360" w:lineRule="auto"/>
        <w:ind w:firstLine="480"/>
        <w:rPr>
          <w:rFonts w:ascii="宋体" w:hAnsi="宋体"/>
          <w:sz w:val="21"/>
          <w:szCs w:val="21"/>
          <w:highlight w:val="none"/>
        </w:rPr>
      </w:pPr>
      <w:r>
        <w:rPr>
          <w:rFonts w:hint="eastAsia" w:ascii="宋体" w:hAnsi="宋体"/>
          <w:sz w:val="21"/>
          <w:szCs w:val="21"/>
          <w:highlight w:val="none"/>
        </w:rPr>
        <w:t>（四）框架协议采购项目；</w:t>
      </w:r>
    </w:p>
    <w:p w14:paraId="0CAAD788">
      <w:pPr>
        <w:pStyle w:val="19"/>
        <w:shd w:val="clear" w:color="auto" w:fill="FFFFFF"/>
        <w:spacing w:line="360" w:lineRule="auto"/>
        <w:ind w:firstLine="480"/>
        <w:rPr>
          <w:rFonts w:ascii="宋体" w:hAnsi="宋体"/>
          <w:sz w:val="21"/>
          <w:szCs w:val="21"/>
          <w:highlight w:val="none"/>
        </w:rPr>
      </w:pPr>
      <w:r>
        <w:rPr>
          <w:rFonts w:hint="eastAsia" w:ascii="宋体" w:hAnsi="宋体"/>
          <w:sz w:val="21"/>
          <w:szCs w:val="21"/>
          <w:highlight w:val="none"/>
        </w:rPr>
        <w:t>（五）省级以上人民政府财政部门规定的其他情形。</w:t>
      </w:r>
    </w:p>
    <w:p w14:paraId="74A3320E">
      <w:pPr>
        <w:pStyle w:val="19"/>
        <w:shd w:val="clear" w:color="auto" w:fill="FFFFFF"/>
        <w:spacing w:line="360" w:lineRule="auto"/>
        <w:ind w:firstLine="480"/>
        <w:rPr>
          <w:rFonts w:ascii="宋体" w:hAnsi="宋体"/>
          <w:sz w:val="21"/>
          <w:szCs w:val="21"/>
          <w:highlight w:val="none"/>
        </w:rPr>
      </w:pPr>
      <w:r>
        <w:rPr>
          <w:rFonts w:hint="eastAsia" w:ascii="宋体" w:hAnsi="宋体"/>
          <w:sz w:val="21"/>
          <w:szCs w:val="21"/>
          <w:highlight w:val="none"/>
        </w:rPr>
        <w:t>除上述情形外，其他均为适宜由中小企业提供的情形。</w:t>
      </w:r>
    </w:p>
    <w:p w14:paraId="433481BB">
      <w:pPr>
        <w:pStyle w:val="19"/>
        <w:shd w:val="clear" w:color="auto" w:fill="FFFFFF"/>
        <w:spacing w:line="360" w:lineRule="auto"/>
        <w:ind w:firstLine="480"/>
        <w:rPr>
          <w:rFonts w:ascii="宋体" w:hAnsi="宋体"/>
          <w:sz w:val="21"/>
          <w:szCs w:val="21"/>
          <w:highlight w:val="none"/>
        </w:rPr>
      </w:pPr>
      <w:r>
        <w:rPr>
          <w:rFonts w:hint="eastAsia" w:ascii="宋体" w:hAnsi="宋体"/>
          <w:b/>
          <w:bCs/>
          <w:sz w:val="21"/>
          <w:szCs w:val="21"/>
          <w:highlight w:val="none"/>
        </w:rPr>
        <w:t>第七条</w:t>
      </w:r>
      <w:r>
        <w:rPr>
          <w:rFonts w:hint="eastAsia" w:ascii="宋体" w:hAnsi="宋体"/>
          <w:sz w:val="21"/>
          <w:szCs w:val="21"/>
          <w:highlight w:val="none"/>
        </w:rPr>
        <w:t>　采购限额标准以上，200万元以下的货物和服务采购项目、400万元以下的工程采购项目，适宜由中小企业提供的，采购人应当专门面向中小企业采购。</w:t>
      </w:r>
    </w:p>
    <w:p w14:paraId="67636DDD">
      <w:pPr>
        <w:pStyle w:val="19"/>
        <w:shd w:val="clear" w:color="auto" w:fill="FFFFFF"/>
        <w:spacing w:line="360" w:lineRule="auto"/>
        <w:ind w:firstLine="480"/>
        <w:rPr>
          <w:rFonts w:ascii="宋体" w:hAnsi="宋体"/>
          <w:sz w:val="21"/>
          <w:szCs w:val="21"/>
          <w:highlight w:val="none"/>
        </w:rPr>
      </w:pPr>
      <w:r>
        <w:rPr>
          <w:rFonts w:hint="eastAsia" w:ascii="宋体" w:hAnsi="宋体"/>
          <w:b/>
          <w:bCs/>
          <w:sz w:val="21"/>
          <w:szCs w:val="21"/>
          <w:highlight w:val="none"/>
        </w:rPr>
        <w:t>第八条</w:t>
      </w:r>
      <w:r>
        <w:rPr>
          <w:rFonts w:hint="eastAsia" w:ascii="宋体" w:hAnsi="宋体"/>
          <w:sz w:val="21"/>
          <w:szCs w:val="21"/>
          <w:highlight w:val="none"/>
        </w:rPr>
        <w:t>　超过200万元的货物和服务采购项目、超过400万元的工程采购项目中适宜由中小企业提供的，预留该部分采购项目预算总额的30%以上专门面向中小企业采购，其中预留给小微企业的比例不低于60%。预留份额通过下列措施进行：</w:t>
      </w:r>
    </w:p>
    <w:p w14:paraId="47EDC033">
      <w:pPr>
        <w:pStyle w:val="19"/>
        <w:shd w:val="clear" w:color="auto" w:fill="FFFFFF"/>
        <w:spacing w:line="360" w:lineRule="auto"/>
        <w:ind w:firstLine="480"/>
        <w:rPr>
          <w:rFonts w:ascii="宋体" w:hAnsi="宋体"/>
          <w:sz w:val="21"/>
          <w:szCs w:val="21"/>
          <w:highlight w:val="none"/>
        </w:rPr>
      </w:pPr>
      <w:r>
        <w:rPr>
          <w:rFonts w:hint="eastAsia" w:ascii="宋体" w:hAnsi="宋体"/>
          <w:sz w:val="21"/>
          <w:szCs w:val="21"/>
          <w:highlight w:val="none"/>
        </w:rPr>
        <w:t>（一）将采购项目整体或者设置采购包专门面向中小企业采购；</w:t>
      </w:r>
    </w:p>
    <w:p w14:paraId="0F027D56">
      <w:pPr>
        <w:pStyle w:val="19"/>
        <w:shd w:val="clear" w:color="auto" w:fill="FFFFFF"/>
        <w:spacing w:line="360" w:lineRule="auto"/>
        <w:ind w:firstLine="480"/>
        <w:rPr>
          <w:rFonts w:ascii="宋体" w:hAnsi="宋体"/>
          <w:sz w:val="21"/>
          <w:szCs w:val="21"/>
          <w:highlight w:val="none"/>
        </w:rPr>
      </w:pPr>
      <w:r>
        <w:rPr>
          <w:rFonts w:hint="eastAsia" w:ascii="宋体" w:hAnsi="宋体"/>
          <w:sz w:val="21"/>
          <w:szCs w:val="21"/>
          <w:highlight w:val="none"/>
        </w:rPr>
        <w:t>（二）要求供应商以联合体形式参加采购活动，且联合体中中小企业承担的部分达到一定比例；</w:t>
      </w:r>
    </w:p>
    <w:p w14:paraId="4938AA0D">
      <w:pPr>
        <w:pStyle w:val="19"/>
        <w:shd w:val="clear" w:color="auto" w:fill="FFFFFF"/>
        <w:spacing w:line="360" w:lineRule="auto"/>
        <w:ind w:firstLine="480"/>
        <w:rPr>
          <w:rFonts w:ascii="宋体" w:hAnsi="宋体"/>
          <w:sz w:val="21"/>
          <w:szCs w:val="21"/>
          <w:highlight w:val="none"/>
        </w:rPr>
      </w:pPr>
      <w:r>
        <w:rPr>
          <w:rFonts w:hint="eastAsia" w:ascii="宋体" w:hAnsi="宋体"/>
          <w:sz w:val="21"/>
          <w:szCs w:val="21"/>
          <w:highlight w:val="none"/>
        </w:rPr>
        <w:t>（三）要求获得采购合同的供应商将采购项目中的一定比例分包给一家或者多家中小企业。</w:t>
      </w:r>
    </w:p>
    <w:p w14:paraId="546482DF">
      <w:pPr>
        <w:pStyle w:val="19"/>
        <w:shd w:val="clear" w:color="auto" w:fill="FFFFFF"/>
        <w:spacing w:line="360" w:lineRule="auto"/>
        <w:ind w:firstLine="480"/>
        <w:rPr>
          <w:rFonts w:ascii="宋体" w:hAnsi="宋体"/>
          <w:sz w:val="21"/>
          <w:szCs w:val="21"/>
          <w:highlight w:val="none"/>
        </w:rPr>
      </w:pPr>
      <w:r>
        <w:rPr>
          <w:rFonts w:hint="eastAsia" w:ascii="宋体" w:hAnsi="宋体"/>
          <w:sz w:val="21"/>
          <w:szCs w:val="21"/>
          <w:highlight w:val="none"/>
        </w:rPr>
        <w:t>组成联合体或者接受分包合同的中小企业与联合体内其他企业、分包企业之间不得存在直接控股、管理关系。</w:t>
      </w:r>
    </w:p>
    <w:p w14:paraId="024F2421">
      <w:pPr>
        <w:pStyle w:val="19"/>
        <w:shd w:val="clear" w:color="auto" w:fill="FFFFFF"/>
        <w:spacing w:line="360" w:lineRule="auto"/>
        <w:ind w:firstLine="480"/>
        <w:rPr>
          <w:rFonts w:ascii="宋体" w:hAnsi="宋体"/>
          <w:sz w:val="21"/>
          <w:szCs w:val="21"/>
          <w:highlight w:val="none"/>
        </w:rPr>
      </w:pPr>
      <w:r>
        <w:rPr>
          <w:rFonts w:hint="eastAsia" w:ascii="宋体" w:hAnsi="宋体"/>
          <w:b/>
          <w:bCs/>
          <w:sz w:val="21"/>
          <w:szCs w:val="21"/>
          <w:highlight w:val="none"/>
        </w:rPr>
        <w:t>第九条</w:t>
      </w:r>
      <w:r>
        <w:rPr>
          <w:rFonts w:hint="eastAsia" w:ascii="宋体" w:hAnsi="宋体"/>
          <w:sz w:val="21"/>
          <w:szCs w:val="21"/>
          <w:highlight w:val="none"/>
        </w:rPr>
        <w:t>　对于经主管预算单位统筹后未预留份额专门面向中小企业采购的采购项目，以及预留份额项目中的非预留部分采购包，采购人、采购代理机构应当对符合本办法规定的小微企业报价给予6%—10%（工程项目为3%—5%）的扣除，用扣除后的价格参加评审。适用招标投标法的政府采购工程建设项目，采用综合评估法但未采用低价优先法计算价格分的，评标时应当在采用原报价进行评分的基础上增加其价格得分的3%—5%作为其价格分。</w:t>
      </w:r>
    </w:p>
    <w:p w14:paraId="18A5F3AB">
      <w:pPr>
        <w:pStyle w:val="19"/>
        <w:shd w:val="clear" w:color="auto" w:fill="FFFFFF"/>
        <w:spacing w:line="360" w:lineRule="auto"/>
        <w:ind w:firstLine="480"/>
        <w:rPr>
          <w:rFonts w:ascii="宋体" w:hAnsi="宋体"/>
          <w:sz w:val="21"/>
          <w:szCs w:val="21"/>
          <w:highlight w:val="none"/>
        </w:rPr>
      </w:pPr>
      <w:r>
        <w:rPr>
          <w:rFonts w:hint="eastAsia" w:ascii="宋体" w:hAnsi="宋体"/>
          <w:sz w:val="21"/>
          <w:szCs w:val="21"/>
          <w:highlight w:val="none"/>
        </w:rPr>
        <w:t>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2%-3%（工程项目为1%—2%）的扣除，用扣除后的价格参加评审。适用招标投标法的政府采购工程建设项目，采用综合评估法但未采用低价优先法计算价格分的，评标时应当在采用原报价进行评分的基础上增加其价格得分的1%—2%作为其价格分。组成联合体或者接受分包的小微企业与联合体内其他企业、分包企业之间存在直接控股、管理关系的，不享受价格扣除优惠政策。</w:t>
      </w:r>
    </w:p>
    <w:p w14:paraId="311ACCF7">
      <w:pPr>
        <w:pStyle w:val="19"/>
        <w:shd w:val="clear" w:color="auto" w:fill="FFFFFF"/>
        <w:spacing w:line="360" w:lineRule="auto"/>
        <w:ind w:firstLine="480"/>
        <w:rPr>
          <w:rFonts w:ascii="宋体" w:hAnsi="宋体"/>
          <w:sz w:val="21"/>
          <w:szCs w:val="21"/>
          <w:highlight w:val="none"/>
        </w:rPr>
      </w:pPr>
      <w:r>
        <w:rPr>
          <w:rFonts w:hint="eastAsia" w:ascii="宋体" w:hAnsi="宋体"/>
          <w:sz w:val="21"/>
          <w:szCs w:val="21"/>
          <w:highlight w:val="none"/>
        </w:rPr>
        <w:t>价格扣除比例或者价格分加分比例对小型企业和微型企业同等对待，不作区分。具体采购项目的价格扣除比例或者价格分加分比例，由采购人根据采购标的相关行业平均利润率、市场竞争状况等，在本办法规定的幅度内确定。</w:t>
      </w:r>
    </w:p>
    <w:p w14:paraId="2C75F8B5">
      <w:pPr>
        <w:pStyle w:val="19"/>
        <w:shd w:val="clear" w:color="auto" w:fill="FFFFFF"/>
        <w:spacing w:line="360" w:lineRule="auto"/>
        <w:ind w:firstLine="480"/>
        <w:rPr>
          <w:rFonts w:ascii="宋体" w:hAnsi="宋体"/>
          <w:sz w:val="21"/>
          <w:szCs w:val="21"/>
          <w:highlight w:val="none"/>
        </w:rPr>
      </w:pPr>
      <w:r>
        <w:rPr>
          <w:rFonts w:hint="eastAsia" w:ascii="宋体" w:hAnsi="宋体"/>
          <w:b/>
          <w:bCs/>
          <w:sz w:val="21"/>
          <w:szCs w:val="21"/>
          <w:highlight w:val="none"/>
        </w:rPr>
        <w:t>第十条</w:t>
      </w:r>
      <w:r>
        <w:rPr>
          <w:rFonts w:hint="eastAsia" w:ascii="宋体" w:hAnsi="宋体"/>
          <w:sz w:val="21"/>
          <w:szCs w:val="21"/>
          <w:highlight w:val="none"/>
        </w:rPr>
        <w:t>　采购人应当严格按照本办法规定和主管预算单位制定的预留采购份额具体方案开展采购活动。预留份额的采购项目或者采购包，通过发布公告方式邀请供应商后，符合资格条件的中小企业数量不足3家的，应当中止采购活动，视同未预留份额的采购项目或者采购包，按照本办法第九条有关规定重新组织采购活动。</w:t>
      </w:r>
    </w:p>
    <w:p w14:paraId="1C4445AF">
      <w:pPr>
        <w:pStyle w:val="19"/>
        <w:shd w:val="clear" w:color="auto" w:fill="FFFFFF"/>
        <w:spacing w:line="360" w:lineRule="auto"/>
        <w:ind w:firstLine="480"/>
        <w:rPr>
          <w:rFonts w:ascii="宋体" w:hAnsi="宋体"/>
          <w:sz w:val="21"/>
          <w:szCs w:val="21"/>
          <w:highlight w:val="none"/>
        </w:rPr>
      </w:pPr>
      <w:r>
        <w:rPr>
          <w:rFonts w:hint="eastAsia" w:ascii="宋体" w:hAnsi="宋体"/>
          <w:b/>
          <w:bCs/>
          <w:sz w:val="21"/>
          <w:szCs w:val="21"/>
          <w:highlight w:val="none"/>
        </w:rPr>
        <w:t>第十一条</w:t>
      </w:r>
      <w:r>
        <w:rPr>
          <w:rFonts w:hint="eastAsia" w:ascii="宋体" w:hAnsi="宋体"/>
          <w:sz w:val="21"/>
          <w:szCs w:val="21"/>
          <w:highlight w:val="none"/>
        </w:rPr>
        <w:t>　中小企业参加政府采购活动，应当出具本办法规定的《中小企业声明函》（附1），否则不得享受相关中小企业扶持政策。任何单位和个人不得要求供应商提供《中小企业声明函》之外的中小企业身份证明文件。</w:t>
      </w:r>
    </w:p>
    <w:p w14:paraId="0106DAC0">
      <w:pPr>
        <w:pStyle w:val="19"/>
        <w:shd w:val="clear" w:color="auto" w:fill="FFFFFF"/>
        <w:spacing w:line="360" w:lineRule="auto"/>
        <w:ind w:firstLine="480"/>
        <w:rPr>
          <w:rFonts w:ascii="宋体" w:hAnsi="宋体"/>
          <w:sz w:val="21"/>
          <w:szCs w:val="21"/>
          <w:highlight w:val="none"/>
        </w:rPr>
      </w:pPr>
      <w:r>
        <w:rPr>
          <w:rFonts w:hint="eastAsia" w:ascii="宋体" w:hAnsi="宋体"/>
          <w:b/>
          <w:bCs/>
          <w:sz w:val="21"/>
          <w:szCs w:val="21"/>
          <w:highlight w:val="none"/>
        </w:rPr>
        <w:t>第十二条</w:t>
      </w:r>
      <w:r>
        <w:rPr>
          <w:rFonts w:hint="eastAsia" w:ascii="宋体" w:hAnsi="宋体"/>
          <w:sz w:val="21"/>
          <w:szCs w:val="21"/>
          <w:highlight w:val="none"/>
        </w:rPr>
        <w:t>　采购项目涉及中小企业采购的，采购文件应当明确以下内容：</w:t>
      </w:r>
    </w:p>
    <w:p w14:paraId="022213DD">
      <w:pPr>
        <w:pStyle w:val="19"/>
        <w:shd w:val="clear" w:color="auto" w:fill="FFFFFF"/>
        <w:spacing w:line="360" w:lineRule="auto"/>
        <w:ind w:firstLine="480"/>
        <w:rPr>
          <w:rFonts w:ascii="宋体" w:hAnsi="宋体"/>
          <w:sz w:val="21"/>
          <w:szCs w:val="21"/>
          <w:highlight w:val="none"/>
        </w:rPr>
      </w:pPr>
      <w:r>
        <w:rPr>
          <w:rFonts w:hint="eastAsia" w:ascii="宋体" w:hAnsi="宋体"/>
          <w:sz w:val="21"/>
          <w:szCs w:val="21"/>
          <w:highlight w:val="none"/>
        </w:rPr>
        <w:t>（一）预留份额的采购项目或者采购包，明确该项目或相关采购包专门面向中小企业采购，以及相关标的及预算金额；</w:t>
      </w:r>
    </w:p>
    <w:p w14:paraId="7F2C11C6">
      <w:pPr>
        <w:pStyle w:val="19"/>
        <w:shd w:val="clear" w:color="auto" w:fill="FFFFFF"/>
        <w:spacing w:line="360" w:lineRule="auto"/>
        <w:ind w:firstLine="480"/>
        <w:rPr>
          <w:rFonts w:ascii="宋体" w:hAnsi="宋体"/>
          <w:sz w:val="21"/>
          <w:szCs w:val="21"/>
          <w:highlight w:val="none"/>
        </w:rPr>
      </w:pPr>
      <w:r>
        <w:rPr>
          <w:rFonts w:hint="eastAsia" w:ascii="宋体" w:hAnsi="宋体"/>
          <w:sz w:val="21"/>
          <w:szCs w:val="21"/>
          <w:highlight w:val="none"/>
        </w:rPr>
        <w:t>（二）要求以联合体形式参加或者合同分包的，明确联合协议或者分包意向协议中中小企业合同金额应当达到的比例，并作为供应商资格条件；</w:t>
      </w:r>
    </w:p>
    <w:p w14:paraId="14947C06">
      <w:pPr>
        <w:pStyle w:val="19"/>
        <w:shd w:val="clear" w:color="auto" w:fill="FFFFFF"/>
        <w:spacing w:line="360" w:lineRule="auto"/>
        <w:ind w:firstLine="480"/>
        <w:rPr>
          <w:rFonts w:ascii="宋体" w:hAnsi="宋体"/>
          <w:sz w:val="21"/>
          <w:szCs w:val="21"/>
          <w:highlight w:val="none"/>
        </w:rPr>
      </w:pPr>
      <w:r>
        <w:rPr>
          <w:rFonts w:hint="eastAsia" w:ascii="宋体" w:hAnsi="宋体"/>
          <w:sz w:val="21"/>
          <w:szCs w:val="21"/>
          <w:highlight w:val="none"/>
        </w:rPr>
        <w:t>（三）非预留份额的采购项目或者采购包，明确有关价格扣除比例或者价格分加分比例；</w:t>
      </w:r>
    </w:p>
    <w:p w14:paraId="7B5EDB7E">
      <w:pPr>
        <w:pStyle w:val="19"/>
        <w:shd w:val="clear" w:color="auto" w:fill="FFFFFF"/>
        <w:spacing w:line="360" w:lineRule="auto"/>
        <w:ind w:firstLine="480"/>
        <w:rPr>
          <w:rFonts w:ascii="宋体" w:hAnsi="宋体"/>
          <w:sz w:val="21"/>
          <w:szCs w:val="21"/>
          <w:highlight w:val="none"/>
        </w:rPr>
      </w:pPr>
      <w:r>
        <w:rPr>
          <w:rFonts w:hint="eastAsia" w:ascii="宋体" w:hAnsi="宋体"/>
          <w:sz w:val="21"/>
          <w:szCs w:val="21"/>
          <w:highlight w:val="none"/>
        </w:rPr>
        <w:t>（四）规定依据本办法规定享受扶持政策获得政府采购合同的，小微企业不得将合同分包给大中型企业，中型企业不得将合同分包给大型企业；</w:t>
      </w:r>
    </w:p>
    <w:p w14:paraId="68142F2E">
      <w:pPr>
        <w:pStyle w:val="19"/>
        <w:shd w:val="clear" w:color="auto" w:fill="FFFFFF"/>
        <w:spacing w:line="360" w:lineRule="auto"/>
        <w:ind w:firstLine="480"/>
        <w:rPr>
          <w:rFonts w:ascii="宋体" w:hAnsi="宋体"/>
          <w:sz w:val="21"/>
          <w:szCs w:val="21"/>
          <w:highlight w:val="none"/>
        </w:rPr>
      </w:pPr>
      <w:r>
        <w:rPr>
          <w:rFonts w:hint="eastAsia" w:ascii="宋体" w:hAnsi="宋体"/>
          <w:sz w:val="21"/>
          <w:szCs w:val="21"/>
          <w:highlight w:val="none"/>
        </w:rPr>
        <w:t>（五）采购人认为具备相关条件的，明确对中小企业在资金支付期限、预付款比例等方面的优惠措施；</w:t>
      </w:r>
    </w:p>
    <w:p w14:paraId="08245E8E">
      <w:pPr>
        <w:pStyle w:val="19"/>
        <w:shd w:val="clear" w:color="auto" w:fill="FFFFFF"/>
        <w:spacing w:line="360" w:lineRule="auto"/>
        <w:ind w:firstLine="480"/>
        <w:rPr>
          <w:rFonts w:ascii="宋体" w:hAnsi="宋体"/>
          <w:sz w:val="21"/>
          <w:szCs w:val="21"/>
          <w:highlight w:val="none"/>
        </w:rPr>
      </w:pPr>
      <w:r>
        <w:rPr>
          <w:rFonts w:hint="eastAsia" w:ascii="宋体" w:hAnsi="宋体"/>
          <w:sz w:val="21"/>
          <w:szCs w:val="21"/>
          <w:highlight w:val="none"/>
        </w:rPr>
        <w:t>（六）明确采购标的对应的中小企业划分标准所属行业；</w:t>
      </w:r>
    </w:p>
    <w:p w14:paraId="27F5CBC1">
      <w:pPr>
        <w:pStyle w:val="19"/>
        <w:shd w:val="clear" w:color="auto" w:fill="FFFFFF"/>
        <w:spacing w:line="360" w:lineRule="auto"/>
        <w:ind w:firstLine="480"/>
        <w:rPr>
          <w:rFonts w:ascii="宋体" w:hAnsi="宋体"/>
          <w:sz w:val="21"/>
          <w:szCs w:val="21"/>
          <w:highlight w:val="none"/>
        </w:rPr>
      </w:pPr>
      <w:r>
        <w:rPr>
          <w:rFonts w:hint="eastAsia" w:ascii="宋体" w:hAnsi="宋体"/>
          <w:sz w:val="21"/>
          <w:szCs w:val="21"/>
          <w:highlight w:val="none"/>
        </w:rPr>
        <w:t>（七）法律法规和省级以上人民政府财政部门规定的其他事项。</w:t>
      </w:r>
    </w:p>
    <w:p w14:paraId="70438F4A">
      <w:pPr>
        <w:pStyle w:val="19"/>
        <w:shd w:val="clear" w:color="auto" w:fill="FFFFFF"/>
        <w:spacing w:line="360" w:lineRule="auto"/>
        <w:ind w:firstLine="480"/>
        <w:rPr>
          <w:rFonts w:ascii="宋体" w:hAnsi="宋体"/>
          <w:sz w:val="21"/>
          <w:szCs w:val="21"/>
          <w:highlight w:val="none"/>
        </w:rPr>
      </w:pPr>
      <w:r>
        <w:rPr>
          <w:rFonts w:hint="eastAsia" w:ascii="宋体" w:hAnsi="宋体"/>
          <w:b/>
          <w:bCs/>
          <w:sz w:val="21"/>
          <w:szCs w:val="21"/>
          <w:highlight w:val="none"/>
        </w:rPr>
        <w:t>第十三条</w:t>
      </w:r>
      <w:r>
        <w:rPr>
          <w:rFonts w:hint="eastAsia" w:ascii="宋体" w:hAnsi="宋体"/>
          <w:sz w:val="21"/>
          <w:szCs w:val="21"/>
          <w:highlight w:val="none"/>
        </w:rPr>
        <w:t>　中标、成交供应商享受本办法规定的中小企业扶持政策的，采购人、采购代理机构应当随中标、成交结果公开中标、成交供应商的《中小企业声明函》。</w:t>
      </w:r>
    </w:p>
    <w:p w14:paraId="49B1CE88">
      <w:pPr>
        <w:pStyle w:val="19"/>
        <w:shd w:val="clear" w:color="auto" w:fill="FFFFFF"/>
        <w:spacing w:line="360" w:lineRule="auto"/>
        <w:ind w:firstLine="480"/>
        <w:rPr>
          <w:rFonts w:ascii="宋体" w:hAnsi="宋体"/>
          <w:sz w:val="21"/>
          <w:szCs w:val="21"/>
          <w:highlight w:val="none"/>
        </w:rPr>
      </w:pPr>
      <w:r>
        <w:rPr>
          <w:rFonts w:hint="eastAsia" w:ascii="宋体" w:hAnsi="宋体"/>
          <w:sz w:val="21"/>
          <w:szCs w:val="21"/>
          <w:highlight w:val="none"/>
        </w:rPr>
        <w:t>适用招标投标法的政府采购工程建设项目，应当在公示中标候选人时公开中标候选人的《中小企业声明函》。</w:t>
      </w:r>
    </w:p>
    <w:p w14:paraId="3F9B9C0E">
      <w:pPr>
        <w:pStyle w:val="19"/>
        <w:shd w:val="clear" w:color="auto" w:fill="FFFFFF"/>
        <w:spacing w:line="360" w:lineRule="auto"/>
        <w:ind w:firstLine="480"/>
        <w:rPr>
          <w:rFonts w:ascii="宋体" w:hAnsi="宋体"/>
          <w:sz w:val="21"/>
          <w:szCs w:val="21"/>
          <w:highlight w:val="none"/>
        </w:rPr>
      </w:pPr>
      <w:r>
        <w:rPr>
          <w:rFonts w:hint="eastAsia" w:ascii="宋体" w:hAnsi="宋体"/>
          <w:b/>
          <w:bCs/>
          <w:sz w:val="21"/>
          <w:szCs w:val="21"/>
          <w:highlight w:val="none"/>
        </w:rPr>
        <w:t>第十四条</w:t>
      </w:r>
      <w:r>
        <w:rPr>
          <w:rFonts w:hint="eastAsia" w:ascii="宋体" w:hAnsi="宋体"/>
          <w:sz w:val="21"/>
          <w:szCs w:val="21"/>
          <w:highlight w:val="none"/>
        </w:rPr>
        <w:t>　对于通过预留采购项目、预留专门采购包、要求以联合体形式参加或者合同分包等措施签订的采购合同，应当明确标注本合同为中小企业预留合同。其中，要求以联合体形式参加采购活动或者合同分包的，应当将联合协议或者分包意向协议作为采购合同的组成部分。</w:t>
      </w:r>
    </w:p>
    <w:p w14:paraId="4AF373E7">
      <w:pPr>
        <w:pStyle w:val="19"/>
        <w:shd w:val="clear" w:color="auto" w:fill="FFFFFF"/>
        <w:spacing w:line="360" w:lineRule="auto"/>
        <w:ind w:firstLine="480"/>
        <w:rPr>
          <w:rFonts w:ascii="宋体" w:hAnsi="宋体"/>
          <w:sz w:val="21"/>
          <w:szCs w:val="21"/>
          <w:highlight w:val="none"/>
        </w:rPr>
      </w:pPr>
      <w:r>
        <w:rPr>
          <w:rFonts w:hint="eastAsia" w:ascii="宋体" w:hAnsi="宋体"/>
          <w:b/>
          <w:bCs/>
          <w:sz w:val="21"/>
          <w:szCs w:val="21"/>
          <w:highlight w:val="none"/>
        </w:rPr>
        <w:t>第十五条</w:t>
      </w:r>
      <w:r>
        <w:rPr>
          <w:rFonts w:hint="eastAsia" w:ascii="宋体" w:hAnsi="宋体"/>
          <w:sz w:val="21"/>
          <w:szCs w:val="21"/>
          <w:highlight w:val="none"/>
        </w:rPr>
        <w:t>　鼓励各地区、各部门在采购活动中允许中小企业引入信用担保手段，为中小企业在投标（响应）保证、履约保证等方面提供专业化服务。鼓励中小企业依法合规通过政府采购合同融资。</w:t>
      </w:r>
    </w:p>
    <w:p w14:paraId="172CB72C">
      <w:pPr>
        <w:pStyle w:val="19"/>
        <w:shd w:val="clear" w:color="auto" w:fill="FFFFFF"/>
        <w:spacing w:line="360" w:lineRule="auto"/>
        <w:ind w:firstLine="480"/>
        <w:rPr>
          <w:rFonts w:ascii="宋体" w:hAnsi="宋体"/>
          <w:sz w:val="21"/>
          <w:szCs w:val="21"/>
          <w:highlight w:val="none"/>
        </w:rPr>
      </w:pPr>
      <w:r>
        <w:rPr>
          <w:rFonts w:hint="eastAsia" w:ascii="宋体" w:hAnsi="宋体"/>
          <w:b/>
          <w:bCs/>
          <w:sz w:val="21"/>
          <w:szCs w:val="21"/>
          <w:highlight w:val="none"/>
        </w:rPr>
        <w:t>第十六条</w:t>
      </w:r>
      <w:r>
        <w:rPr>
          <w:rFonts w:hint="eastAsia" w:ascii="宋体" w:hAnsi="宋体"/>
          <w:sz w:val="21"/>
          <w:szCs w:val="21"/>
          <w:highlight w:val="none"/>
        </w:rPr>
        <w:t>　政府采购监督检查、投诉处理及政府采购行政处罚中对中小企业的认定，由货物制造商或者工程、服务供应商注册登记所在地的县级以上人民政府中小企业主管部门负责。</w:t>
      </w:r>
    </w:p>
    <w:p w14:paraId="7755AB82">
      <w:pPr>
        <w:pStyle w:val="19"/>
        <w:shd w:val="clear" w:color="auto" w:fill="FFFFFF"/>
        <w:spacing w:line="360" w:lineRule="auto"/>
        <w:ind w:firstLine="480"/>
        <w:rPr>
          <w:rFonts w:ascii="宋体" w:hAnsi="宋体"/>
          <w:sz w:val="21"/>
          <w:szCs w:val="21"/>
          <w:highlight w:val="none"/>
        </w:rPr>
      </w:pPr>
      <w:r>
        <w:rPr>
          <w:rFonts w:hint="eastAsia" w:ascii="宋体" w:hAnsi="宋体"/>
          <w:sz w:val="21"/>
          <w:szCs w:val="21"/>
          <w:highlight w:val="none"/>
        </w:rPr>
        <w:t>中小企业主管部门应当在收到财政部门或者有关招标投标行政监督部门关于协助开展中小企业认定函后10个工作日内做出书面答复。</w:t>
      </w:r>
    </w:p>
    <w:p w14:paraId="640AB264">
      <w:pPr>
        <w:pStyle w:val="19"/>
        <w:shd w:val="clear" w:color="auto" w:fill="FFFFFF"/>
        <w:spacing w:line="360" w:lineRule="auto"/>
        <w:ind w:firstLine="480"/>
        <w:rPr>
          <w:rFonts w:ascii="宋体" w:hAnsi="宋体"/>
          <w:sz w:val="21"/>
          <w:szCs w:val="21"/>
          <w:highlight w:val="none"/>
        </w:rPr>
      </w:pPr>
      <w:r>
        <w:rPr>
          <w:rFonts w:hint="eastAsia" w:ascii="宋体" w:hAnsi="宋体"/>
          <w:b/>
          <w:bCs/>
          <w:sz w:val="21"/>
          <w:szCs w:val="21"/>
          <w:highlight w:val="none"/>
        </w:rPr>
        <w:t>第十七条</w:t>
      </w:r>
      <w:r>
        <w:rPr>
          <w:rFonts w:hint="eastAsia" w:ascii="宋体" w:hAnsi="宋体"/>
          <w:sz w:val="21"/>
          <w:szCs w:val="21"/>
          <w:highlight w:val="none"/>
        </w:rPr>
        <w:t>　各地区、各部门应当对涉及中小企业采购的预算项目实施全过程绩效管理，合理设置绩效目标和指标，落实扶持中小企业有关政策要求，定期开展绩效监控和评价，强化绩效评价结果应用。</w:t>
      </w:r>
    </w:p>
    <w:p w14:paraId="5D98A718">
      <w:pPr>
        <w:pStyle w:val="19"/>
        <w:shd w:val="clear" w:color="auto" w:fill="FFFFFF"/>
        <w:spacing w:line="360" w:lineRule="auto"/>
        <w:ind w:firstLine="480"/>
        <w:rPr>
          <w:rFonts w:ascii="宋体" w:hAnsi="宋体"/>
          <w:sz w:val="21"/>
          <w:szCs w:val="21"/>
          <w:highlight w:val="none"/>
        </w:rPr>
      </w:pPr>
      <w:r>
        <w:rPr>
          <w:rFonts w:hint="eastAsia" w:ascii="宋体" w:hAnsi="宋体"/>
          <w:b/>
          <w:bCs/>
          <w:sz w:val="21"/>
          <w:szCs w:val="21"/>
          <w:highlight w:val="none"/>
        </w:rPr>
        <w:t>第十八条</w:t>
      </w:r>
      <w:r>
        <w:rPr>
          <w:rFonts w:hint="eastAsia" w:ascii="宋体" w:hAnsi="宋体"/>
          <w:sz w:val="21"/>
          <w:szCs w:val="21"/>
          <w:highlight w:val="none"/>
        </w:rPr>
        <w:t>　主管预算单位应当自2022年起向同级财政部门报告本部门上一年度面向中小企业预留份额和采购的具体情况，并在中国政府采购网公开预留项目执行情况（附2）。未达到本办法规定的预留份额比例的，应当作出说明。</w:t>
      </w:r>
    </w:p>
    <w:p w14:paraId="3A661163">
      <w:pPr>
        <w:pStyle w:val="19"/>
        <w:shd w:val="clear" w:color="auto" w:fill="FFFFFF"/>
        <w:spacing w:line="360" w:lineRule="auto"/>
        <w:ind w:firstLine="480"/>
        <w:rPr>
          <w:rFonts w:ascii="宋体" w:hAnsi="宋体"/>
          <w:sz w:val="21"/>
          <w:szCs w:val="21"/>
          <w:highlight w:val="none"/>
        </w:rPr>
      </w:pPr>
      <w:r>
        <w:rPr>
          <w:rFonts w:hint="eastAsia" w:ascii="宋体" w:hAnsi="宋体"/>
          <w:b/>
          <w:bCs/>
          <w:sz w:val="21"/>
          <w:szCs w:val="21"/>
          <w:highlight w:val="none"/>
        </w:rPr>
        <w:t>第十九条</w:t>
      </w:r>
      <w:r>
        <w:rPr>
          <w:rFonts w:hint="eastAsia" w:ascii="宋体" w:hAnsi="宋体"/>
          <w:sz w:val="21"/>
          <w:szCs w:val="21"/>
          <w:highlight w:val="none"/>
        </w:rPr>
        <w:t>　采购人未按本办法规定为中小企业预留采购份额，采购人、采购代理机构未按照本办法规定要求实施价格扣除或者价格分加分的，属于未按照规定执行政府采购政策，依照《中华人民共和国政府采购法》等国家有关规定追究法律责任。</w:t>
      </w:r>
    </w:p>
    <w:p w14:paraId="140D6D76">
      <w:pPr>
        <w:pStyle w:val="19"/>
        <w:shd w:val="clear" w:color="auto" w:fill="FFFFFF"/>
        <w:spacing w:line="360" w:lineRule="auto"/>
        <w:ind w:firstLine="480"/>
        <w:rPr>
          <w:rFonts w:ascii="宋体" w:hAnsi="宋体"/>
          <w:sz w:val="21"/>
          <w:szCs w:val="21"/>
          <w:highlight w:val="none"/>
        </w:rPr>
      </w:pPr>
      <w:r>
        <w:rPr>
          <w:rFonts w:hint="eastAsia" w:ascii="宋体" w:hAnsi="宋体"/>
          <w:b/>
          <w:bCs/>
          <w:sz w:val="21"/>
          <w:szCs w:val="21"/>
          <w:highlight w:val="none"/>
        </w:rPr>
        <w:t>第二十条</w:t>
      </w:r>
      <w:r>
        <w:rPr>
          <w:rFonts w:hint="eastAsia" w:ascii="宋体" w:hAnsi="宋体"/>
          <w:sz w:val="21"/>
          <w:szCs w:val="21"/>
          <w:highlight w:val="none"/>
        </w:rPr>
        <w:t>　供应商按照本办法规定提供声明函内容不实的，属于提供虚假材料谋取中标、成交，依照《中华人民共和国政府采购法》等国家有关规定追究相应责任。</w:t>
      </w:r>
    </w:p>
    <w:p w14:paraId="05900438">
      <w:pPr>
        <w:pStyle w:val="19"/>
        <w:shd w:val="clear" w:color="auto" w:fill="FFFFFF"/>
        <w:spacing w:line="360" w:lineRule="auto"/>
        <w:ind w:firstLine="480"/>
        <w:rPr>
          <w:rFonts w:ascii="宋体" w:hAnsi="宋体"/>
          <w:sz w:val="21"/>
          <w:szCs w:val="21"/>
          <w:highlight w:val="none"/>
        </w:rPr>
      </w:pPr>
      <w:r>
        <w:rPr>
          <w:rFonts w:hint="eastAsia" w:ascii="宋体" w:hAnsi="宋体"/>
          <w:sz w:val="21"/>
          <w:szCs w:val="21"/>
          <w:highlight w:val="none"/>
        </w:rPr>
        <w:t>适用招标投标法的政府采购工程建设项目，投标人按照本办法规定提供声明函内容不实的，属于弄虚作假骗取中标，依照《中华人民共和国招标投标法》等国家有关规定追究相应责任。</w:t>
      </w:r>
    </w:p>
    <w:p w14:paraId="61DBEC34">
      <w:pPr>
        <w:pStyle w:val="19"/>
        <w:shd w:val="clear" w:color="auto" w:fill="FFFFFF"/>
        <w:spacing w:line="360" w:lineRule="auto"/>
        <w:ind w:firstLine="480"/>
        <w:rPr>
          <w:rFonts w:ascii="宋体" w:hAnsi="宋体"/>
          <w:sz w:val="21"/>
          <w:szCs w:val="21"/>
          <w:highlight w:val="none"/>
        </w:rPr>
      </w:pPr>
      <w:r>
        <w:rPr>
          <w:rFonts w:hint="eastAsia" w:ascii="宋体" w:hAnsi="宋体"/>
          <w:b/>
          <w:bCs/>
          <w:sz w:val="21"/>
          <w:szCs w:val="21"/>
          <w:highlight w:val="none"/>
        </w:rPr>
        <w:t>第二十一条</w:t>
      </w:r>
      <w:r>
        <w:rPr>
          <w:rFonts w:hint="eastAsia" w:ascii="宋体" w:hAnsi="宋体"/>
          <w:sz w:val="21"/>
          <w:szCs w:val="21"/>
          <w:highlight w:val="none"/>
        </w:rPr>
        <w:t>　财政部门、中小企业主管部门及其工作人员在履行职责中违反本办法规定及存在其他滥用职权、玩忽职守、徇私舞弊等违法违纪行为的，依照《中华人民共和国政府采购法》、《中华人民共和国公务员法》、《中华人民共和国监察法》、《中华人民共和国政府采购法实施条例》等国家有关规定追究相应责任；涉嫌犯罪的，依法移送有关国家机关处理。</w:t>
      </w:r>
    </w:p>
    <w:p w14:paraId="0553C600">
      <w:pPr>
        <w:pStyle w:val="19"/>
        <w:shd w:val="clear" w:color="auto" w:fill="FFFFFF"/>
        <w:spacing w:line="360" w:lineRule="auto"/>
        <w:ind w:firstLine="480"/>
        <w:rPr>
          <w:rFonts w:ascii="宋体" w:hAnsi="宋体"/>
          <w:sz w:val="21"/>
          <w:szCs w:val="21"/>
          <w:highlight w:val="none"/>
        </w:rPr>
      </w:pPr>
      <w:r>
        <w:rPr>
          <w:rFonts w:hint="eastAsia" w:ascii="宋体" w:hAnsi="宋体"/>
          <w:b/>
          <w:bCs/>
          <w:sz w:val="21"/>
          <w:szCs w:val="21"/>
          <w:highlight w:val="none"/>
        </w:rPr>
        <w:t>第二十二条</w:t>
      </w:r>
      <w:r>
        <w:rPr>
          <w:rFonts w:hint="eastAsia" w:ascii="宋体" w:hAnsi="宋体"/>
          <w:sz w:val="21"/>
          <w:szCs w:val="21"/>
          <w:highlight w:val="none"/>
        </w:rPr>
        <w:t>　对外援助项目、国家相关资格或者资质管理制度另有规定的项目，不适用本办法。</w:t>
      </w:r>
    </w:p>
    <w:p w14:paraId="3B55CB07">
      <w:pPr>
        <w:pStyle w:val="19"/>
        <w:shd w:val="clear" w:color="auto" w:fill="FFFFFF"/>
        <w:spacing w:line="360" w:lineRule="auto"/>
        <w:ind w:firstLine="480"/>
        <w:rPr>
          <w:rFonts w:ascii="宋体" w:hAnsi="宋体"/>
          <w:sz w:val="21"/>
          <w:szCs w:val="21"/>
          <w:highlight w:val="none"/>
        </w:rPr>
      </w:pPr>
      <w:r>
        <w:rPr>
          <w:rFonts w:hint="eastAsia" w:ascii="宋体" w:hAnsi="宋体"/>
          <w:b/>
          <w:bCs/>
          <w:sz w:val="21"/>
          <w:szCs w:val="21"/>
          <w:highlight w:val="none"/>
        </w:rPr>
        <w:t>第二十三条</w:t>
      </w:r>
      <w:r>
        <w:rPr>
          <w:rFonts w:hint="eastAsia" w:ascii="宋体" w:hAnsi="宋体"/>
          <w:sz w:val="21"/>
          <w:szCs w:val="21"/>
          <w:highlight w:val="none"/>
        </w:rPr>
        <w:t>　关于视同中小企业的其他主体的政府采购扶持政策，由财政部会同有关部门另行规定。</w:t>
      </w:r>
    </w:p>
    <w:p w14:paraId="159CB387">
      <w:pPr>
        <w:pStyle w:val="19"/>
        <w:shd w:val="clear" w:color="auto" w:fill="FFFFFF"/>
        <w:spacing w:line="360" w:lineRule="auto"/>
        <w:ind w:firstLine="480"/>
        <w:rPr>
          <w:rFonts w:ascii="宋体" w:hAnsi="宋体"/>
          <w:sz w:val="21"/>
          <w:szCs w:val="21"/>
          <w:highlight w:val="none"/>
        </w:rPr>
      </w:pPr>
      <w:r>
        <w:rPr>
          <w:rFonts w:hint="eastAsia" w:ascii="宋体" w:hAnsi="宋体"/>
          <w:b/>
          <w:bCs/>
          <w:sz w:val="21"/>
          <w:szCs w:val="21"/>
          <w:highlight w:val="none"/>
        </w:rPr>
        <w:t>第二十四条</w:t>
      </w:r>
      <w:r>
        <w:rPr>
          <w:rFonts w:hint="eastAsia" w:ascii="宋体" w:hAnsi="宋体"/>
          <w:sz w:val="21"/>
          <w:szCs w:val="21"/>
          <w:highlight w:val="none"/>
        </w:rPr>
        <w:t>　省级财政部门可以会同中小企业主管部门根据本办法的规定制定具体实施办法。</w:t>
      </w:r>
    </w:p>
    <w:p w14:paraId="61881955">
      <w:pPr>
        <w:pStyle w:val="19"/>
        <w:shd w:val="clear" w:color="auto" w:fill="FFFFFF"/>
        <w:spacing w:line="360" w:lineRule="auto"/>
        <w:ind w:firstLine="480"/>
        <w:rPr>
          <w:rFonts w:ascii="宋体" w:hAnsi="宋体"/>
          <w:sz w:val="21"/>
          <w:szCs w:val="21"/>
          <w:highlight w:val="none"/>
        </w:rPr>
      </w:pPr>
      <w:r>
        <w:rPr>
          <w:rFonts w:hint="eastAsia" w:ascii="宋体" w:hAnsi="宋体"/>
          <w:b/>
          <w:bCs/>
          <w:sz w:val="21"/>
          <w:szCs w:val="21"/>
          <w:highlight w:val="none"/>
        </w:rPr>
        <w:t>第二十五条</w:t>
      </w:r>
      <w:r>
        <w:rPr>
          <w:rFonts w:hint="eastAsia" w:ascii="宋体" w:hAnsi="宋体"/>
          <w:sz w:val="21"/>
          <w:szCs w:val="21"/>
          <w:highlight w:val="none"/>
        </w:rPr>
        <w:t>　本办法自2021年1月1日起施行。《财政部 工业和信息化部关于印发〈政府采购促进中小企业发展暂行办法〉的通知》（财库〔2011〕181号）同时废止。</w:t>
      </w:r>
    </w:p>
    <w:p w14:paraId="11FDF171">
      <w:pPr>
        <w:pStyle w:val="19"/>
        <w:shd w:val="clear" w:color="auto" w:fill="FFFFFF"/>
        <w:spacing w:line="360" w:lineRule="auto"/>
        <w:ind w:firstLine="480"/>
        <w:rPr>
          <w:rFonts w:ascii="宋体" w:hAnsi="宋体"/>
          <w:sz w:val="21"/>
          <w:szCs w:val="21"/>
          <w:highlight w:val="none"/>
        </w:rPr>
      </w:pPr>
    </w:p>
    <w:p w14:paraId="3E23BA08">
      <w:pPr>
        <w:spacing w:line="360" w:lineRule="auto"/>
        <w:rPr>
          <w:rFonts w:ascii="宋体" w:hAnsi="宋体"/>
          <w:szCs w:val="21"/>
          <w:highlight w:val="none"/>
        </w:rPr>
      </w:pPr>
      <w:r>
        <w:rPr>
          <w:rFonts w:ascii="宋体" w:hAnsi="宋体"/>
          <w:szCs w:val="21"/>
          <w:highlight w:val="none"/>
        </w:rPr>
        <w:br w:type="page"/>
      </w:r>
    </w:p>
    <w:p w14:paraId="044C31BE">
      <w:pPr>
        <w:pStyle w:val="4"/>
        <w:spacing w:before="0" w:after="0"/>
        <w:jc w:val="center"/>
        <w:rPr>
          <w:rFonts w:hint="eastAsia"/>
          <w:highlight w:val="none"/>
        </w:rPr>
      </w:pPr>
      <w:bookmarkStart w:id="233" w:name="_Toc73610163"/>
      <w:bookmarkStart w:id="234" w:name="_Toc73613645"/>
      <w:r>
        <w:rPr>
          <w:rFonts w:hint="eastAsia"/>
          <w:b/>
          <w:bCs/>
          <w:sz w:val="28"/>
          <w:szCs w:val="44"/>
          <w:highlight w:val="none"/>
        </w:rPr>
        <w:t>二、关于印发中小企业划型标准规定的通知</w:t>
      </w:r>
      <w:bookmarkEnd w:id="233"/>
      <w:bookmarkEnd w:id="234"/>
    </w:p>
    <w:p w14:paraId="6909D458">
      <w:pPr>
        <w:jc w:val="center"/>
        <w:rPr>
          <w:rFonts w:hint="eastAsia" w:ascii="宋体" w:hAnsi="宋体"/>
          <w:szCs w:val="21"/>
          <w:highlight w:val="none"/>
        </w:rPr>
      </w:pPr>
      <w:r>
        <w:rPr>
          <w:rFonts w:hint="eastAsia" w:ascii="宋体" w:hAnsi="宋体"/>
          <w:szCs w:val="21"/>
          <w:highlight w:val="none"/>
        </w:rPr>
        <w:t>工信部联企业〔2011〕300号</w:t>
      </w:r>
    </w:p>
    <w:p w14:paraId="19577815">
      <w:pPr>
        <w:rPr>
          <w:rFonts w:hint="eastAsia" w:ascii="宋体" w:hAnsi="宋体"/>
          <w:szCs w:val="21"/>
          <w:highlight w:val="none"/>
        </w:rPr>
      </w:pPr>
      <w:r>
        <w:rPr>
          <w:rFonts w:hint="eastAsia" w:ascii="宋体" w:hAnsi="宋体"/>
          <w:szCs w:val="21"/>
          <w:highlight w:val="none"/>
        </w:rPr>
        <w:t>各省、自治区、直辖市人民政府，国务院各部委、各直属机构及有关单位：</w:t>
      </w:r>
    </w:p>
    <w:p w14:paraId="772B246B">
      <w:pPr>
        <w:rPr>
          <w:rFonts w:hint="eastAsia" w:ascii="宋体" w:hAnsi="宋体"/>
          <w:szCs w:val="21"/>
          <w:highlight w:val="none"/>
        </w:rPr>
      </w:pPr>
      <w:r>
        <w:rPr>
          <w:rFonts w:hint="eastAsia" w:ascii="宋体" w:hAnsi="宋体"/>
          <w:szCs w:val="21"/>
          <w:highlight w:val="none"/>
          <w:lang w:val="en-US" w:eastAsia="zh-CN"/>
        </w:rPr>
        <w:t xml:space="preserve">    </w:t>
      </w:r>
      <w:r>
        <w:rPr>
          <w:rFonts w:hint="eastAsia" w:ascii="宋体" w:hAnsi="宋体"/>
          <w:szCs w:val="21"/>
          <w:highlight w:val="none"/>
        </w:rPr>
        <w:t>为贯彻落实《中华人民共和国中小企业促进法》和《国务院关于进一步促进中小企业发展的若干意见》（国发〔2009〕36号），工业和信息化部、国家统计局、发展改革委、财政部研究制定了《中小企业划型标准规定》。经国务院同意，现印发给你们，请遵照执行。</w:t>
      </w:r>
    </w:p>
    <w:p w14:paraId="5C689D34">
      <w:pPr>
        <w:rPr>
          <w:rFonts w:hint="eastAsia" w:ascii="宋体" w:hAnsi="宋体"/>
          <w:szCs w:val="21"/>
          <w:highlight w:val="none"/>
        </w:rPr>
      </w:pPr>
    </w:p>
    <w:p w14:paraId="5D56E279">
      <w:pPr>
        <w:jc w:val="right"/>
        <w:rPr>
          <w:rFonts w:hint="eastAsia" w:ascii="宋体" w:hAnsi="宋体"/>
          <w:szCs w:val="21"/>
          <w:highlight w:val="none"/>
        </w:rPr>
      </w:pPr>
      <w:r>
        <w:rPr>
          <w:rFonts w:hint="eastAsia" w:ascii="宋体" w:hAnsi="宋体"/>
          <w:szCs w:val="21"/>
          <w:highlight w:val="none"/>
        </w:rPr>
        <w:t>工业和信息化部　国家统计局   国家发展和改革委员会　财政部</w:t>
      </w:r>
    </w:p>
    <w:p w14:paraId="2A3D56B2">
      <w:pPr>
        <w:jc w:val="right"/>
        <w:rPr>
          <w:rFonts w:hint="eastAsia" w:ascii="宋体" w:hAnsi="宋体"/>
          <w:szCs w:val="21"/>
          <w:highlight w:val="none"/>
        </w:rPr>
      </w:pPr>
      <w:r>
        <w:rPr>
          <w:rFonts w:hint="eastAsia" w:ascii="宋体" w:hAnsi="宋体"/>
          <w:szCs w:val="21"/>
          <w:highlight w:val="none"/>
        </w:rPr>
        <w:t>二○一一年六月十八日</w:t>
      </w:r>
    </w:p>
    <w:p w14:paraId="72EFA3A5">
      <w:pPr>
        <w:rPr>
          <w:highlight w:val="none"/>
        </w:rPr>
      </w:pPr>
    </w:p>
    <w:p w14:paraId="5499AC3D">
      <w:pPr>
        <w:jc w:val="center"/>
        <w:rPr>
          <w:highlight w:val="none"/>
        </w:rPr>
      </w:pPr>
      <w:r>
        <w:rPr>
          <w:rStyle w:val="26"/>
          <w:rFonts w:hint="eastAsia" w:ascii="宋体" w:hAnsi="宋体"/>
          <w:szCs w:val="21"/>
          <w:highlight w:val="none"/>
        </w:rPr>
        <w:t>中小企业划型标准规定</w:t>
      </w:r>
    </w:p>
    <w:p w14:paraId="546824D3">
      <w:pPr>
        <w:rPr>
          <w:rFonts w:hint="eastAsia" w:ascii="宋体" w:hAnsi="宋体"/>
          <w:szCs w:val="21"/>
          <w:highlight w:val="none"/>
        </w:rPr>
      </w:pPr>
      <w:r>
        <w:rPr>
          <w:rFonts w:hint="eastAsia" w:ascii="宋体" w:hAnsi="宋体"/>
          <w:szCs w:val="21"/>
          <w:highlight w:val="none"/>
        </w:rPr>
        <w:t>　　</w:t>
      </w:r>
    </w:p>
    <w:p w14:paraId="781C522C">
      <w:pPr>
        <w:rPr>
          <w:rFonts w:hint="eastAsia" w:ascii="宋体" w:hAnsi="宋体"/>
          <w:szCs w:val="21"/>
          <w:highlight w:val="none"/>
        </w:rPr>
      </w:pPr>
      <w:r>
        <w:rPr>
          <w:rFonts w:hint="eastAsia" w:ascii="宋体" w:hAnsi="宋体"/>
          <w:szCs w:val="21"/>
          <w:highlight w:val="none"/>
        </w:rPr>
        <w:t>一、根据《中华人民共和国中小企业促进法》和《国务院关于进一步促进中小企业发展的若干意见》(国发〔2009〕36号)，制定本规定。</w:t>
      </w:r>
    </w:p>
    <w:p w14:paraId="18A2F014">
      <w:pPr>
        <w:rPr>
          <w:rFonts w:hint="eastAsia" w:ascii="宋体" w:hAnsi="宋体"/>
          <w:szCs w:val="21"/>
          <w:highlight w:val="none"/>
        </w:rPr>
      </w:pPr>
      <w:r>
        <w:rPr>
          <w:rFonts w:hint="eastAsia" w:ascii="宋体" w:hAnsi="宋体"/>
          <w:szCs w:val="21"/>
          <w:highlight w:val="none"/>
        </w:rPr>
        <w:t>　　二、中小企业划分为中型、小型、微型三种类型，具体标准根据企业从业人员、营业收入、资产总额等指标，结合行业特点制定。</w:t>
      </w:r>
    </w:p>
    <w:p w14:paraId="01EAAB57">
      <w:pPr>
        <w:rPr>
          <w:rFonts w:hint="eastAsia" w:ascii="宋体" w:hAnsi="宋体"/>
          <w:szCs w:val="21"/>
          <w:highlight w:val="none"/>
        </w:rPr>
      </w:pPr>
      <w:r>
        <w:rPr>
          <w:rFonts w:hint="eastAsia" w:ascii="宋体" w:hAnsi="宋体"/>
          <w:szCs w:val="21"/>
          <w:highlight w:val="none"/>
        </w:rPr>
        <w:t>　　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0FE4881C">
      <w:pPr>
        <w:rPr>
          <w:rFonts w:hint="eastAsia" w:ascii="宋体" w:hAnsi="宋体"/>
          <w:szCs w:val="21"/>
          <w:highlight w:val="none"/>
        </w:rPr>
      </w:pPr>
      <w:r>
        <w:rPr>
          <w:rFonts w:hint="eastAsia" w:ascii="宋体" w:hAnsi="宋体"/>
          <w:szCs w:val="21"/>
          <w:highlight w:val="none"/>
        </w:rPr>
        <w:t>　　四、各行业划型标准为：</w:t>
      </w:r>
    </w:p>
    <w:p w14:paraId="1FFA9AE6">
      <w:pPr>
        <w:rPr>
          <w:rFonts w:hint="eastAsia" w:ascii="宋体" w:hAnsi="宋体"/>
          <w:szCs w:val="21"/>
          <w:highlight w:val="none"/>
        </w:rPr>
      </w:pPr>
      <w:r>
        <w:rPr>
          <w:rFonts w:hint="eastAsia" w:ascii="宋体" w:hAnsi="宋体"/>
          <w:szCs w:val="21"/>
          <w:highlight w:val="none"/>
        </w:rPr>
        <w:t>　　（一）农、林、牧、渔业。营业收入20000万元以下的为中小微型企业。其中，营业收入500万元及以上的为中型企业，营业收入50万元及以上的为小型企业，营业收入50万元以下的为微型企业。</w:t>
      </w:r>
    </w:p>
    <w:p w14:paraId="78B3815C">
      <w:pPr>
        <w:rPr>
          <w:rFonts w:hint="eastAsia" w:ascii="宋体" w:hAnsi="宋体"/>
          <w:szCs w:val="21"/>
          <w:highlight w:val="none"/>
        </w:rPr>
      </w:pPr>
      <w:r>
        <w:rPr>
          <w:rFonts w:hint="eastAsia" w:ascii="宋体" w:hAnsi="宋体"/>
          <w:szCs w:val="21"/>
          <w:highlight w:val="none"/>
        </w:rPr>
        <w:t>　　（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6A872055">
      <w:pPr>
        <w:rPr>
          <w:rFonts w:hint="eastAsia" w:ascii="宋体" w:hAnsi="宋体"/>
          <w:szCs w:val="21"/>
          <w:highlight w:val="none"/>
        </w:rPr>
      </w:pPr>
      <w:r>
        <w:rPr>
          <w:rFonts w:hint="eastAsia" w:ascii="宋体" w:hAnsi="宋体"/>
          <w:szCs w:val="21"/>
          <w:highlight w:val="none"/>
        </w:rPr>
        <w:t>　　（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6551F2F2">
      <w:pPr>
        <w:rPr>
          <w:rFonts w:hint="eastAsia" w:ascii="宋体" w:hAnsi="宋体"/>
          <w:szCs w:val="21"/>
          <w:highlight w:val="none"/>
        </w:rPr>
      </w:pPr>
      <w:r>
        <w:rPr>
          <w:rFonts w:hint="eastAsia" w:ascii="宋体" w:hAnsi="宋体"/>
          <w:szCs w:val="21"/>
          <w:highlight w:val="none"/>
        </w:rPr>
        <w:t>　　（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6DF305C2">
      <w:pPr>
        <w:rPr>
          <w:rFonts w:hint="eastAsia" w:ascii="宋体" w:hAnsi="宋体"/>
          <w:szCs w:val="21"/>
          <w:highlight w:val="none"/>
        </w:rPr>
      </w:pPr>
      <w:r>
        <w:rPr>
          <w:rFonts w:hint="eastAsia" w:ascii="宋体" w:hAnsi="宋体"/>
          <w:szCs w:val="21"/>
          <w:highlight w:val="none"/>
        </w:rPr>
        <w:t>　　（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79117278">
      <w:pPr>
        <w:rPr>
          <w:rFonts w:hint="eastAsia" w:ascii="宋体" w:hAnsi="宋体"/>
          <w:szCs w:val="21"/>
          <w:highlight w:val="none"/>
        </w:rPr>
      </w:pPr>
      <w:r>
        <w:rPr>
          <w:rFonts w:hint="eastAsia" w:ascii="宋体" w:hAnsi="宋体"/>
          <w:szCs w:val="21"/>
          <w:highlight w:val="none"/>
        </w:rPr>
        <w:t>　　（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30D930BF">
      <w:pPr>
        <w:rPr>
          <w:rFonts w:hint="eastAsia" w:ascii="宋体" w:hAnsi="宋体"/>
          <w:szCs w:val="21"/>
          <w:highlight w:val="none"/>
        </w:rPr>
      </w:pPr>
      <w:r>
        <w:rPr>
          <w:rFonts w:hint="eastAsia" w:ascii="宋体" w:hAnsi="宋体"/>
          <w:szCs w:val="21"/>
          <w:highlight w:val="none"/>
        </w:rPr>
        <w:t>　　（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2FA801CB">
      <w:pPr>
        <w:rPr>
          <w:rFonts w:hint="eastAsia" w:ascii="宋体" w:hAnsi="宋体"/>
          <w:szCs w:val="21"/>
          <w:highlight w:val="none"/>
        </w:rPr>
      </w:pPr>
      <w:r>
        <w:rPr>
          <w:rFonts w:hint="eastAsia" w:ascii="宋体" w:hAnsi="宋体"/>
          <w:szCs w:val="21"/>
          <w:highlight w:val="none"/>
        </w:rPr>
        <w:t>　　（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6561C00E">
      <w:pPr>
        <w:rPr>
          <w:rFonts w:hint="eastAsia" w:ascii="宋体" w:hAnsi="宋体"/>
          <w:szCs w:val="21"/>
          <w:highlight w:val="none"/>
        </w:rPr>
      </w:pPr>
      <w:r>
        <w:rPr>
          <w:rFonts w:hint="eastAsia" w:ascii="宋体" w:hAnsi="宋体"/>
          <w:szCs w:val="21"/>
          <w:highlight w:val="none"/>
        </w:rPr>
        <w:t>　　（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0825CBC8">
      <w:pPr>
        <w:rPr>
          <w:rFonts w:hint="eastAsia" w:ascii="宋体" w:hAnsi="宋体"/>
          <w:szCs w:val="21"/>
          <w:highlight w:val="none"/>
        </w:rPr>
      </w:pPr>
      <w:r>
        <w:rPr>
          <w:rFonts w:hint="eastAsia" w:ascii="宋体" w:hAnsi="宋体"/>
          <w:szCs w:val="21"/>
          <w:highlight w:val="none"/>
        </w:rPr>
        <w:t>　　（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36E393A0">
      <w:pPr>
        <w:rPr>
          <w:rFonts w:hint="eastAsia" w:ascii="宋体" w:hAnsi="宋体"/>
          <w:szCs w:val="21"/>
          <w:highlight w:val="none"/>
        </w:rPr>
      </w:pPr>
      <w:r>
        <w:rPr>
          <w:rFonts w:hint="eastAsia" w:ascii="宋体" w:hAnsi="宋体"/>
          <w:szCs w:val="21"/>
          <w:highlight w:val="none"/>
        </w:rPr>
        <w:t>　　（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3544CD1C">
      <w:pPr>
        <w:rPr>
          <w:rFonts w:hint="eastAsia" w:ascii="宋体" w:hAnsi="宋体"/>
          <w:szCs w:val="21"/>
          <w:highlight w:val="none"/>
        </w:rPr>
      </w:pPr>
      <w:r>
        <w:rPr>
          <w:rFonts w:hint="eastAsia" w:ascii="宋体" w:hAnsi="宋体"/>
          <w:szCs w:val="21"/>
          <w:highlight w:val="none"/>
        </w:rPr>
        <w:t>　　（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0AD1DD56">
      <w:pPr>
        <w:rPr>
          <w:rFonts w:hint="eastAsia" w:ascii="宋体" w:hAnsi="宋体"/>
          <w:szCs w:val="21"/>
          <w:highlight w:val="none"/>
        </w:rPr>
      </w:pPr>
      <w:r>
        <w:rPr>
          <w:rFonts w:hint="eastAsia" w:ascii="宋体" w:hAnsi="宋体"/>
          <w:szCs w:val="21"/>
          <w:highlight w:val="none"/>
        </w:rPr>
        <w:t>　　（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0F2EC1DC">
      <w:pPr>
        <w:rPr>
          <w:rFonts w:hint="eastAsia" w:ascii="宋体" w:hAnsi="宋体"/>
          <w:szCs w:val="21"/>
          <w:highlight w:val="none"/>
        </w:rPr>
      </w:pPr>
      <w:r>
        <w:rPr>
          <w:rFonts w:hint="eastAsia" w:ascii="宋体" w:hAnsi="宋体"/>
          <w:szCs w:val="21"/>
          <w:highlight w:val="none"/>
        </w:rPr>
        <w:t>　　（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73BC8076">
      <w:pPr>
        <w:rPr>
          <w:rFonts w:hint="eastAsia" w:ascii="宋体" w:hAnsi="宋体"/>
          <w:szCs w:val="21"/>
          <w:highlight w:val="none"/>
        </w:rPr>
      </w:pPr>
      <w:r>
        <w:rPr>
          <w:rFonts w:hint="eastAsia" w:ascii="宋体" w:hAnsi="宋体"/>
          <w:szCs w:val="21"/>
          <w:highlight w:val="none"/>
        </w:rPr>
        <w:t>　　（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4E90402A">
      <w:pPr>
        <w:rPr>
          <w:rFonts w:hint="eastAsia" w:ascii="宋体" w:hAnsi="宋体"/>
          <w:szCs w:val="21"/>
          <w:highlight w:val="none"/>
        </w:rPr>
      </w:pPr>
      <w:r>
        <w:rPr>
          <w:rFonts w:hint="eastAsia" w:ascii="宋体" w:hAnsi="宋体"/>
          <w:szCs w:val="21"/>
          <w:highlight w:val="none"/>
        </w:rPr>
        <w:t>　　（十六）其他未列明行业。从业人员300人以下的为中小微型企业。其中，从业人员100人及以上的为中型企业；从业人员10人及以上的为小型企业；从业人员10人以下的为微型企业。</w:t>
      </w:r>
    </w:p>
    <w:p w14:paraId="159FDF98">
      <w:pPr>
        <w:rPr>
          <w:rFonts w:hint="eastAsia" w:ascii="宋体" w:hAnsi="宋体"/>
          <w:szCs w:val="21"/>
          <w:highlight w:val="none"/>
        </w:rPr>
      </w:pPr>
      <w:r>
        <w:rPr>
          <w:rFonts w:hint="eastAsia" w:ascii="宋体" w:hAnsi="宋体"/>
          <w:szCs w:val="21"/>
          <w:highlight w:val="none"/>
        </w:rPr>
        <w:t>　　五、企业类型的划分以统计部门的统计数据为依据。</w:t>
      </w:r>
    </w:p>
    <w:p w14:paraId="1D84814C">
      <w:pPr>
        <w:rPr>
          <w:rFonts w:hint="eastAsia" w:ascii="宋体" w:hAnsi="宋体"/>
          <w:szCs w:val="21"/>
          <w:highlight w:val="none"/>
        </w:rPr>
      </w:pPr>
      <w:r>
        <w:rPr>
          <w:rFonts w:hint="eastAsia" w:ascii="宋体" w:hAnsi="宋体"/>
          <w:szCs w:val="21"/>
          <w:highlight w:val="none"/>
        </w:rPr>
        <w:t>　　六、本规定适用于在中华人民共和国境内依法设立的各类所有制和各种组织形式的企业。个体工商户和本规定以外的行业，参照本规定进行划型。</w:t>
      </w:r>
    </w:p>
    <w:p w14:paraId="5893C0D7">
      <w:pPr>
        <w:rPr>
          <w:rFonts w:hint="eastAsia" w:ascii="宋体" w:hAnsi="宋体"/>
          <w:szCs w:val="21"/>
          <w:highlight w:val="none"/>
        </w:rPr>
      </w:pPr>
      <w:r>
        <w:rPr>
          <w:rFonts w:hint="eastAsia" w:ascii="宋体" w:hAnsi="宋体"/>
          <w:szCs w:val="21"/>
          <w:highlight w:val="none"/>
        </w:rPr>
        <w:t>　　七、本规定的中型企业标准上限即为大型企业标准的下限，国家统计部门据此制定大中小微型企业的统计分类。国务院有关部门据此进行相关数据分析，不得制定与本规定不一致的企业划型标准。</w:t>
      </w:r>
    </w:p>
    <w:p w14:paraId="6F1FFCE7">
      <w:pPr>
        <w:rPr>
          <w:rFonts w:hint="eastAsia" w:ascii="宋体" w:hAnsi="宋体"/>
          <w:szCs w:val="21"/>
          <w:highlight w:val="none"/>
        </w:rPr>
      </w:pPr>
      <w:r>
        <w:rPr>
          <w:rFonts w:hint="eastAsia" w:ascii="宋体" w:hAnsi="宋体"/>
          <w:szCs w:val="21"/>
          <w:highlight w:val="none"/>
        </w:rPr>
        <w:t>　　八、本规定由工业和信息化部、国家统计局会同有关部门根据《国民经济行业分类》修订情况和企业发展变化情况适时修订。</w:t>
      </w:r>
    </w:p>
    <w:p w14:paraId="73BCAE57">
      <w:pPr>
        <w:rPr>
          <w:rFonts w:hint="eastAsia" w:ascii="宋体" w:hAnsi="宋体"/>
          <w:szCs w:val="21"/>
          <w:highlight w:val="none"/>
        </w:rPr>
      </w:pPr>
      <w:r>
        <w:rPr>
          <w:rFonts w:hint="eastAsia" w:ascii="宋体" w:hAnsi="宋体"/>
          <w:szCs w:val="21"/>
          <w:highlight w:val="none"/>
        </w:rPr>
        <w:t>　　九、本规定由工业和信息化部、国家统计局会同有关部门负责解释。</w:t>
      </w:r>
    </w:p>
    <w:p w14:paraId="5614D73B">
      <w:pPr>
        <w:rPr>
          <w:highlight w:val="none"/>
        </w:rPr>
      </w:pPr>
      <w:r>
        <w:rPr>
          <w:rFonts w:hint="eastAsia" w:ascii="宋体" w:hAnsi="宋体"/>
          <w:szCs w:val="21"/>
          <w:highlight w:val="none"/>
        </w:rPr>
        <w:t>　　十、本规定自发布之日起执行，原国家经贸委、原国家计委、财政部和国家统计局2003年颁布的《中小企业标准暂行规定》同时废止。</w:t>
      </w:r>
    </w:p>
    <w:p w14:paraId="49C25F15">
      <w:pPr>
        <w:jc w:val="center"/>
        <w:rPr>
          <w:rFonts w:hint="eastAsia" w:ascii="宋体" w:hAnsi="宋体"/>
          <w:highlight w:val="none"/>
        </w:rPr>
      </w:pPr>
      <w:bookmarkStart w:id="235" w:name="_Toc73613646"/>
      <w:bookmarkStart w:id="236" w:name="_Toc73610164"/>
    </w:p>
    <w:p w14:paraId="77EEBF3E">
      <w:pPr>
        <w:jc w:val="center"/>
        <w:rPr>
          <w:rFonts w:hint="eastAsia" w:ascii="宋体" w:hAnsi="宋体"/>
          <w:highlight w:val="none"/>
        </w:rPr>
      </w:pPr>
    </w:p>
    <w:p w14:paraId="07BA0A1D">
      <w:pPr>
        <w:jc w:val="center"/>
        <w:rPr>
          <w:rFonts w:hint="eastAsia" w:ascii="宋体" w:hAnsi="宋体"/>
          <w:highlight w:val="none"/>
        </w:rPr>
      </w:pPr>
    </w:p>
    <w:p w14:paraId="18970A79">
      <w:pPr>
        <w:jc w:val="center"/>
        <w:rPr>
          <w:rFonts w:hint="eastAsia" w:ascii="宋体" w:hAnsi="宋体"/>
          <w:highlight w:val="none"/>
        </w:rPr>
      </w:pPr>
    </w:p>
    <w:p w14:paraId="1BBF4B34">
      <w:pPr>
        <w:jc w:val="center"/>
        <w:rPr>
          <w:rFonts w:hint="eastAsia" w:ascii="宋体" w:hAnsi="宋体"/>
          <w:highlight w:val="none"/>
        </w:rPr>
      </w:pPr>
    </w:p>
    <w:p w14:paraId="5C3BCF77">
      <w:pPr>
        <w:pStyle w:val="4"/>
        <w:spacing w:before="0" w:after="0"/>
        <w:jc w:val="center"/>
        <w:rPr>
          <w:rFonts w:ascii="宋体" w:hAnsi="宋体"/>
          <w:highlight w:val="none"/>
        </w:rPr>
      </w:pPr>
      <w:r>
        <w:rPr>
          <w:rFonts w:hint="eastAsia" w:ascii="宋体" w:hAnsi="宋体" w:eastAsia="宋体"/>
          <w:b/>
          <w:bCs/>
          <w:sz w:val="28"/>
          <w:szCs w:val="44"/>
          <w:highlight w:val="none"/>
        </w:rPr>
        <w:t>三、国家统计局关于印发《统计上大中小微型企业划分办法 （2017）》的通知</w:t>
      </w:r>
      <w:bookmarkEnd w:id="235"/>
      <w:bookmarkEnd w:id="236"/>
      <w:r>
        <w:rPr>
          <w:rFonts w:hint="eastAsia" w:ascii="宋体" w:hAnsi="宋体" w:eastAsia="宋体"/>
          <w:b/>
          <w:bCs/>
          <w:sz w:val="28"/>
          <w:szCs w:val="44"/>
          <w:highlight w:val="none"/>
        </w:rPr>
        <w:t> </w:t>
      </w:r>
    </w:p>
    <w:p w14:paraId="0A0E8621">
      <w:pPr>
        <w:widowControl/>
        <w:spacing w:line="360" w:lineRule="auto"/>
        <w:jc w:val="left"/>
        <w:rPr>
          <w:rFonts w:ascii="宋体" w:hAnsi="宋体" w:cs="宋体"/>
          <w:kern w:val="0"/>
          <w:szCs w:val="21"/>
          <w:highlight w:val="none"/>
        </w:rPr>
      </w:pPr>
    </w:p>
    <w:p w14:paraId="21EC449F">
      <w:pPr>
        <w:widowControl/>
        <w:spacing w:line="360" w:lineRule="auto"/>
        <w:jc w:val="left"/>
        <w:rPr>
          <w:rFonts w:ascii="宋体" w:hAnsi="宋体" w:cs="宋体"/>
          <w:kern w:val="0"/>
          <w:szCs w:val="21"/>
          <w:highlight w:val="none"/>
        </w:rPr>
      </w:pPr>
      <w:r>
        <w:rPr>
          <w:rFonts w:ascii="宋体" w:hAnsi="宋体" w:cs="宋体"/>
          <w:kern w:val="0"/>
          <w:szCs w:val="21"/>
          <w:highlight w:val="none"/>
        </w:rPr>
        <w:t>各省、自治区、直辖市统计局，新疆生产建设兵团统计局，国务院各有关部门，国家统计局各调查总队：</w:t>
      </w:r>
    </w:p>
    <w:p w14:paraId="6149D0B5">
      <w:pPr>
        <w:widowControl/>
        <w:spacing w:line="360" w:lineRule="auto"/>
        <w:ind w:firstLine="371" w:firstLineChars="177"/>
        <w:jc w:val="left"/>
        <w:rPr>
          <w:rFonts w:ascii="宋体" w:hAnsi="宋体" w:cs="宋体"/>
          <w:kern w:val="0"/>
          <w:szCs w:val="21"/>
          <w:highlight w:val="none"/>
        </w:rPr>
      </w:pPr>
      <w:r>
        <w:rPr>
          <w:rFonts w:ascii="宋体" w:hAnsi="宋体" w:cs="宋体"/>
          <w:kern w:val="0"/>
          <w:szCs w:val="21"/>
          <w:highlight w:val="none"/>
        </w:rPr>
        <w:t>《国民经济行业分类》（GB/T 4754—2017）已正式实施，现对2011年制定的《统计上大中小微型企业划分办法》进行修订。本次修订保持原有的分类原则、方法、结构框架和适用范围，仅将所涉及的行业按照《国民经济行业分类》（GB/T 4754—2011）和《国民经济行业分类》（GB/T 4754—2017）的对应关系，进行相应调整，形成《统计上大中小微型企业划分办法（2017）》。现将《统计上大中小微型企业划分办法（2017）》印发给你们，请在统计工作中认真贯彻执行。</w:t>
      </w:r>
    </w:p>
    <w:p w14:paraId="7E4715CB">
      <w:pPr>
        <w:widowControl/>
        <w:spacing w:line="360" w:lineRule="auto"/>
        <w:jc w:val="left"/>
        <w:rPr>
          <w:rFonts w:ascii="宋体" w:hAnsi="宋体" w:cs="宋体"/>
          <w:kern w:val="0"/>
          <w:szCs w:val="21"/>
          <w:highlight w:val="none"/>
        </w:rPr>
      </w:pPr>
      <w:r>
        <w:rPr>
          <w:rFonts w:ascii="宋体" w:hAnsi="宋体" w:cs="宋体"/>
          <w:kern w:val="0"/>
          <w:szCs w:val="21"/>
          <w:highlight w:val="none"/>
        </w:rPr>
        <w:t>附件：《统计上大中小微型企业划分办法（2017）》修订说明</w:t>
      </w:r>
    </w:p>
    <w:p w14:paraId="61855515">
      <w:pPr>
        <w:widowControl/>
        <w:spacing w:line="360" w:lineRule="auto"/>
        <w:jc w:val="right"/>
        <w:rPr>
          <w:rFonts w:ascii="宋体" w:hAnsi="宋体" w:cs="宋体"/>
          <w:kern w:val="0"/>
          <w:szCs w:val="21"/>
          <w:highlight w:val="none"/>
        </w:rPr>
      </w:pPr>
      <w:r>
        <w:rPr>
          <w:rFonts w:ascii="宋体" w:hAnsi="宋体" w:cs="宋体"/>
          <w:kern w:val="0"/>
          <w:szCs w:val="21"/>
          <w:highlight w:val="none"/>
        </w:rPr>
        <w:t>国家统计局</w:t>
      </w:r>
    </w:p>
    <w:p w14:paraId="5046D151">
      <w:pPr>
        <w:widowControl/>
        <w:spacing w:line="360" w:lineRule="auto"/>
        <w:jc w:val="right"/>
        <w:rPr>
          <w:rFonts w:ascii="宋体" w:hAnsi="宋体" w:cs="宋体"/>
          <w:kern w:val="0"/>
          <w:szCs w:val="21"/>
          <w:highlight w:val="none"/>
        </w:rPr>
      </w:pPr>
      <w:r>
        <w:rPr>
          <w:rFonts w:ascii="宋体" w:hAnsi="宋体" w:cs="宋体"/>
          <w:kern w:val="0"/>
          <w:szCs w:val="21"/>
          <w:highlight w:val="none"/>
        </w:rPr>
        <w:t>2017年12月28日</w:t>
      </w:r>
    </w:p>
    <w:p w14:paraId="65A7D0BF">
      <w:pPr>
        <w:widowControl/>
        <w:spacing w:line="360" w:lineRule="auto"/>
        <w:jc w:val="right"/>
        <w:rPr>
          <w:rFonts w:ascii="宋体" w:hAnsi="宋体" w:cs="宋体"/>
          <w:kern w:val="0"/>
          <w:szCs w:val="21"/>
          <w:highlight w:val="none"/>
        </w:rPr>
      </w:pPr>
    </w:p>
    <w:p w14:paraId="37C3F763">
      <w:pPr>
        <w:widowControl/>
        <w:spacing w:line="360" w:lineRule="auto"/>
        <w:jc w:val="center"/>
        <w:rPr>
          <w:rFonts w:ascii="宋体" w:hAnsi="宋体" w:cs="宋体"/>
          <w:b/>
          <w:bCs/>
          <w:kern w:val="0"/>
          <w:szCs w:val="21"/>
          <w:highlight w:val="none"/>
        </w:rPr>
      </w:pPr>
    </w:p>
    <w:p w14:paraId="64C81084">
      <w:pPr>
        <w:widowControl/>
        <w:spacing w:line="360" w:lineRule="auto"/>
        <w:jc w:val="center"/>
        <w:rPr>
          <w:rFonts w:ascii="宋体" w:hAnsi="宋体" w:cs="宋体"/>
          <w:kern w:val="0"/>
          <w:szCs w:val="21"/>
          <w:highlight w:val="none"/>
        </w:rPr>
      </w:pPr>
      <w:r>
        <w:rPr>
          <w:rFonts w:ascii="宋体" w:hAnsi="宋体" w:cs="宋体"/>
          <w:b/>
          <w:bCs/>
          <w:kern w:val="0"/>
          <w:szCs w:val="21"/>
          <w:highlight w:val="none"/>
        </w:rPr>
        <w:br w:type="page"/>
      </w:r>
      <w:r>
        <w:rPr>
          <w:rFonts w:ascii="宋体" w:hAnsi="宋体" w:cs="宋体"/>
          <w:b/>
          <w:bCs/>
          <w:kern w:val="0"/>
          <w:szCs w:val="21"/>
          <w:highlight w:val="none"/>
        </w:rPr>
        <w:t>统计上大中小微型企业划分办法（2017）</w:t>
      </w:r>
    </w:p>
    <w:p w14:paraId="5470650E">
      <w:pPr>
        <w:widowControl/>
        <w:spacing w:line="360" w:lineRule="auto"/>
        <w:jc w:val="left"/>
        <w:rPr>
          <w:rFonts w:ascii="宋体" w:hAnsi="宋体" w:cs="宋体"/>
          <w:kern w:val="0"/>
          <w:szCs w:val="21"/>
          <w:highlight w:val="none"/>
        </w:rPr>
      </w:pPr>
    </w:p>
    <w:p w14:paraId="6239C159">
      <w:pPr>
        <w:widowControl/>
        <w:spacing w:line="360" w:lineRule="auto"/>
        <w:ind w:left="1" w:firstLine="371" w:firstLineChars="177"/>
        <w:jc w:val="left"/>
        <w:rPr>
          <w:rFonts w:ascii="宋体" w:hAnsi="宋体" w:cs="宋体"/>
          <w:kern w:val="0"/>
          <w:szCs w:val="21"/>
          <w:highlight w:val="none"/>
        </w:rPr>
      </w:pPr>
      <w:r>
        <w:rPr>
          <w:rFonts w:ascii="宋体" w:hAnsi="宋体" w:cs="宋体"/>
          <w:kern w:val="0"/>
          <w:szCs w:val="21"/>
          <w:highlight w:val="none"/>
        </w:rPr>
        <w:t>一、根据工业和信息化部、国家统计局、国家发展改革委、财政部《关于印发中小企业划型标准规定的通知》（工信部联企业〔2011〕300号），以《国民经济行业分类》（GB/T4754-2017）为基础，结合统计工作的实际情况，制定本办法。</w:t>
      </w:r>
    </w:p>
    <w:p w14:paraId="1E8ECAF7">
      <w:pPr>
        <w:widowControl/>
        <w:spacing w:line="360" w:lineRule="auto"/>
        <w:ind w:firstLine="371" w:firstLineChars="177"/>
        <w:jc w:val="left"/>
        <w:rPr>
          <w:rFonts w:ascii="宋体" w:hAnsi="宋体" w:cs="宋体"/>
          <w:kern w:val="0"/>
          <w:szCs w:val="21"/>
          <w:highlight w:val="none"/>
        </w:rPr>
      </w:pPr>
      <w:r>
        <w:rPr>
          <w:rFonts w:ascii="宋体" w:hAnsi="宋体" w:cs="宋体"/>
          <w:kern w:val="0"/>
          <w:szCs w:val="21"/>
          <w:highlight w:val="none"/>
        </w:rPr>
        <w:t>二、本办法适用对象为在中华人民共和国境内依法设立的各种组织形式的法人企业或单位。个体工商户参照本办法进行划分。</w:t>
      </w:r>
    </w:p>
    <w:p w14:paraId="67AAB90A">
      <w:pPr>
        <w:widowControl/>
        <w:spacing w:line="360" w:lineRule="auto"/>
        <w:ind w:firstLine="371" w:firstLineChars="177"/>
        <w:jc w:val="left"/>
        <w:rPr>
          <w:rFonts w:ascii="宋体" w:hAnsi="宋体" w:cs="宋体"/>
          <w:kern w:val="0"/>
          <w:szCs w:val="21"/>
          <w:highlight w:val="none"/>
        </w:rPr>
      </w:pPr>
      <w:r>
        <w:rPr>
          <w:rFonts w:ascii="宋体" w:hAnsi="宋体" w:cs="宋体"/>
          <w:kern w:val="0"/>
          <w:szCs w:val="21"/>
          <w:highlight w:val="none"/>
        </w:rPr>
        <w:t>三、本办法适用范围包括：农、林、牧、渔业，采矿业，制造业，电力、热力、燃气及水生产和供应业，建筑业，批发和零售业，交通运输、仓储和邮政业，住宿和餐饮业，信息传输、软件和信息技术服务业，房地产业，租赁和商务服务业，科学研究和技术服务业，水利、环境和公共设施管理业，居民服务、修理和其他服务业，文化、体育和娱乐业等15个行业门类以及社会工作行业大类。</w:t>
      </w:r>
    </w:p>
    <w:p w14:paraId="571C85A8">
      <w:pPr>
        <w:widowControl/>
        <w:spacing w:line="360" w:lineRule="auto"/>
        <w:ind w:firstLine="371" w:firstLineChars="177"/>
        <w:jc w:val="left"/>
        <w:rPr>
          <w:rFonts w:ascii="宋体" w:hAnsi="宋体" w:cs="宋体"/>
          <w:kern w:val="0"/>
          <w:szCs w:val="21"/>
          <w:highlight w:val="none"/>
        </w:rPr>
      </w:pPr>
      <w:r>
        <w:rPr>
          <w:rFonts w:ascii="宋体" w:hAnsi="宋体" w:cs="宋体"/>
          <w:kern w:val="0"/>
          <w:szCs w:val="21"/>
          <w:highlight w:val="none"/>
        </w:rPr>
        <w:t>四、本办法按照行业门类、大类、中类和组合类别，依据从业人员、营业收入、资产总额等指标或替代指标，将我国的企业划分为大型、中型、小型、微型等四种类型。具体划分标准见附表。</w:t>
      </w:r>
    </w:p>
    <w:p w14:paraId="2B36A3AE">
      <w:pPr>
        <w:widowControl/>
        <w:spacing w:line="360" w:lineRule="auto"/>
        <w:ind w:firstLine="371" w:firstLineChars="177"/>
        <w:jc w:val="left"/>
        <w:rPr>
          <w:rFonts w:ascii="宋体" w:hAnsi="宋体" w:cs="宋体"/>
          <w:kern w:val="0"/>
          <w:szCs w:val="21"/>
          <w:highlight w:val="none"/>
        </w:rPr>
      </w:pPr>
      <w:r>
        <w:rPr>
          <w:rFonts w:ascii="宋体" w:hAnsi="宋体" w:cs="宋体"/>
          <w:kern w:val="0"/>
          <w:szCs w:val="21"/>
          <w:highlight w:val="none"/>
        </w:rPr>
        <w:t>五、企业划分由政府综合统计部门根据统计年报每年确定一次，定报统计原则上不进行调整。</w:t>
      </w:r>
    </w:p>
    <w:p w14:paraId="08E3E55C">
      <w:pPr>
        <w:widowControl/>
        <w:spacing w:line="360" w:lineRule="auto"/>
        <w:ind w:left="1" w:firstLine="371" w:firstLineChars="177"/>
        <w:jc w:val="left"/>
        <w:rPr>
          <w:rFonts w:ascii="宋体" w:hAnsi="宋体" w:cs="宋体"/>
          <w:kern w:val="0"/>
          <w:szCs w:val="21"/>
          <w:highlight w:val="none"/>
        </w:rPr>
      </w:pPr>
      <w:r>
        <w:rPr>
          <w:rFonts w:ascii="宋体" w:hAnsi="宋体" w:cs="宋体"/>
          <w:kern w:val="0"/>
          <w:szCs w:val="21"/>
          <w:highlight w:val="none"/>
        </w:rPr>
        <w:t>六、本办法自印发之日起执行，国家统计局2011年印发的《统计上大中小微型企业划分办法》（国统字〔2011〕75号）同时废止。</w:t>
      </w:r>
    </w:p>
    <w:p w14:paraId="2CFEAD46">
      <w:pPr>
        <w:widowControl/>
        <w:spacing w:line="360" w:lineRule="auto"/>
        <w:jc w:val="left"/>
        <w:rPr>
          <w:rFonts w:ascii="宋体" w:hAnsi="宋体" w:cs="宋体"/>
          <w:kern w:val="0"/>
          <w:szCs w:val="21"/>
          <w:highlight w:val="none"/>
        </w:rPr>
      </w:pPr>
    </w:p>
    <w:p w14:paraId="50D874AC">
      <w:pPr>
        <w:widowControl/>
        <w:spacing w:line="360" w:lineRule="auto"/>
        <w:jc w:val="left"/>
        <w:rPr>
          <w:rFonts w:ascii="宋体" w:hAnsi="宋体" w:cs="宋体"/>
          <w:b/>
          <w:bCs/>
          <w:kern w:val="0"/>
          <w:szCs w:val="21"/>
          <w:highlight w:val="none"/>
        </w:rPr>
      </w:pPr>
      <w:r>
        <w:rPr>
          <w:rFonts w:ascii="宋体" w:hAnsi="宋体" w:cs="宋体"/>
          <w:b/>
          <w:bCs/>
          <w:kern w:val="0"/>
          <w:szCs w:val="21"/>
          <w:highlight w:val="none"/>
        </w:rPr>
        <w:t>附件</w:t>
      </w:r>
    </w:p>
    <w:p w14:paraId="6310C11B">
      <w:pPr>
        <w:widowControl/>
        <w:spacing w:line="360" w:lineRule="auto"/>
        <w:jc w:val="center"/>
        <w:rPr>
          <w:rFonts w:ascii="宋体" w:hAnsi="宋体" w:cs="宋体"/>
          <w:b/>
          <w:bCs/>
          <w:kern w:val="0"/>
          <w:szCs w:val="21"/>
          <w:highlight w:val="none"/>
        </w:rPr>
      </w:pPr>
      <w:r>
        <w:rPr>
          <w:rFonts w:ascii="宋体" w:hAnsi="宋体" w:cs="宋体"/>
          <w:b/>
          <w:bCs/>
          <w:kern w:val="0"/>
          <w:szCs w:val="21"/>
          <w:highlight w:val="none"/>
        </w:rPr>
        <w:t>《统计上大中小微型企业划分办法（2017）》修订说明</w:t>
      </w:r>
    </w:p>
    <w:p w14:paraId="55F00C27">
      <w:pPr>
        <w:widowControl/>
        <w:spacing w:line="360" w:lineRule="auto"/>
        <w:jc w:val="left"/>
        <w:rPr>
          <w:rFonts w:ascii="宋体" w:hAnsi="宋体" w:cs="宋体"/>
          <w:kern w:val="0"/>
          <w:szCs w:val="21"/>
          <w:highlight w:val="none"/>
        </w:rPr>
      </w:pPr>
    </w:p>
    <w:p w14:paraId="207D9AD8">
      <w:pPr>
        <w:widowControl/>
        <w:spacing w:line="360" w:lineRule="auto"/>
        <w:ind w:firstLine="371" w:firstLineChars="177"/>
        <w:jc w:val="left"/>
        <w:rPr>
          <w:rFonts w:ascii="宋体" w:hAnsi="宋体" w:cs="宋体"/>
          <w:kern w:val="0"/>
          <w:szCs w:val="21"/>
          <w:highlight w:val="none"/>
        </w:rPr>
      </w:pPr>
      <w:r>
        <w:rPr>
          <w:rFonts w:ascii="宋体" w:hAnsi="宋体" w:cs="宋体"/>
          <w:kern w:val="0"/>
          <w:szCs w:val="21"/>
          <w:highlight w:val="none"/>
        </w:rPr>
        <w:t>一、修订背景</w:t>
      </w:r>
    </w:p>
    <w:p w14:paraId="451205C5">
      <w:pPr>
        <w:widowControl/>
        <w:spacing w:line="360" w:lineRule="auto"/>
        <w:ind w:firstLine="371" w:firstLineChars="177"/>
        <w:jc w:val="left"/>
        <w:rPr>
          <w:rFonts w:ascii="宋体" w:hAnsi="宋体" w:cs="宋体"/>
          <w:kern w:val="0"/>
          <w:szCs w:val="21"/>
          <w:highlight w:val="none"/>
        </w:rPr>
      </w:pPr>
      <w:r>
        <w:rPr>
          <w:rFonts w:ascii="宋体" w:hAnsi="宋体" w:cs="宋体"/>
          <w:kern w:val="0"/>
          <w:szCs w:val="21"/>
          <w:highlight w:val="none"/>
        </w:rPr>
        <w:t>目前执行的《统计上大中小微型企业划分办法》是2011年国家统计局根据工业和信息化部、国家统计局、国家发展改革委、财政部《关于印发中小企业划型标准规定的通知》（工信部联企业〔2011〕300号），同时依据《国民经济行业分类》（GB/T 4754—2011），制定并颁布的。</w:t>
      </w:r>
    </w:p>
    <w:p w14:paraId="3EA8AE45">
      <w:pPr>
        <w:widowControl/>
        <w:spacing w:line="360" w:lineRule="auto"/>
        <w:ind w:firstLine="371" w:firstLineChars="177"/>
        <w:jc w:val="left"/>
        <w:rPr>
          <w:rFonts w:ascii="宋体" w:hAnsi="宋体" w:cs="宋体"/>
          <w:kern w:val="0"/>
          <w:szCs w:val="21"/>
          <w:highlight w:val="none"/>
        </w:rPr>
      </w:pPr>
      <w:r>
        <w:rPr>
          <w:rFonts w:ascii="宋体" w:hAnsi="宋体" w:cs="宋体"/>
          <w:kern w:val="0"/>
          <w:szCs w:val="21"/>
          <w:highlight w:val="none"/>
        </w:rPr>
        <w:t>2017年6月30日，《国民经济行业分类》（GB/T 4754—2017）正式颁布。8月29日，国家统计局印发《关于执行新国民经济行业分类国家标准的通知》（国统字〔2017〕142号），规定从2017年统计年报和2018年定期统计报表起统一使用新分类标准。为此，我们对2011年印发的《统计上大中小微型企业划分办法》进行修订。</w:t>
      </w:r>
    </w:p>
    <w:p w14:paraId="6CFE9210">
      <w:pPr>
        <w:widowControl/>
        <w:spacing w:line="360" w:lineRule="auto"/>
        <w:ind w:firstLine="371" w:firstLineChars="177"/>
        <w:jc w:val="left"/>
        <w:rPr>
          <w:rFonts w:ascii="宋体" w:hAnsi="宋体" w:cs="宋体"/>
          <w:kern w:val="0"/>
          <w:szCs w:val="21"/>
          <w:highlight w:val="none"/>
        </w:rPr>
      </w:pPr>
      <w:r>
        <w:rPr>
          <w:rFonts w:ascii="宋体" w:hAnsi="宋体" w:cs="宋体"/>
          <w:kern w:val="0"/>
          <w:szCs w:val="21"/>
          <w:highlight w:val="none"/>
        </w:rPr>
        <w:t>二、修订主要内容</w:t>
      </w:r>
    </w:p>
    <w:p w14:paraId="5DE4FCAD">
      <w:pPr>
        <w:widowControl/>
        <w:spacing w:line="360" w:lineRule="auto"/>
        <w:ind w:firstLine="371" w:firstLineChars="177"/>
        <w:jc w:val="left"/>
        <w:rPr>
          <w:rFonts w:ascii="宋体" w:hAnsi="宋体" w:cs="宋体"/>
          <w:kern w:val="0"/>
          <w:szCs w:val="21"/>
          <w:highlight w:val="none"/>
        </w:rPr>
      </w:pPr>
      <w:r>
        <w:rPr>
          <w:rFonts w:ascii="宋体" w:hAnsi="宋体" w:cs="宋体"/>
          <w:kern w:val="0"/>
          <w:szCs w:val="21"/>
          <w:highlight w:val="none"/>
        </w:rPr>
        <w:t>本次修订是在2011年《统计上大中小微型企业划分办法》基础上进行的，修订延续原有的分类原则、方法和结构框架，在保持适用范围不变的情况下,依据标准由《国民经济行业分类》（GB/T 4754—2011）修改为《国民经济行业分类》（GB/T 4754—2017），并根据新旧国民经济行业的对应关系，进行了行业所包含类别的对应调整。</w:t>
      </w:r>
    </w:p>
    <w:p w14:paraId="0056A8A8">
      <w:pPr>
        <w:widowControl/>
        <w:spacing w:line="360" w:lineRule="auto"/>
        <w:ind w:firstLine="371" w:firstLineChars="177"/>
        <w:jc w:val="left"/>
        <w:rPr>
          <w:rFonts w:ascii="宋体" w:hAnsi="宋体" w:cs="宋体"/>
          <w:kern w:val="0"/>
          <w:szCs w:val="21"/>
          <w:highlight w:val="none"/>
        </w:rPr>
      </w:pPr>
      <w:r>
        <w:rPr>
          <w:rFonts w:ascii="宋体" w:hAnsi="宋体" w:cs="宋体"/>
          <w:kern w:val="0"/>
          <w:szCs w:val="21"/>
          <w:highlight w:val="none"/>
        </w:rPr>
        <w:t>将交通运输业中包括的“装卸搬运和运输代理业”修改为“多式联运和运输代理业、装卸搬运”。</w:t>
      </w:r>
    </w:p>
    <w:p w14:paraId="120B598E">
      <w:pPr>
        <w:widowControl/>
        <w:spacing w:line="360" w:lineRule="auto"/>
        <w:jc w:val="left"/>
        <w:rPr>
          <w:rFonts w:ascii="宋体" w:hAnsi="宋体" w:cs="宋体"/>
          <w:kern w:val="0"/>
          <w:szCs w:val="21"/>
          <w:highlight w:val="none"/>
        </w:rPr>
      </w:pPr>
      <w:r>
        <w:rPr>
          <w:rFonts w:ascii="宋体" w:hAnsi="宋体" w:cs="宋体"/>
          <w:kern w:val="0"/>
          <w:szCs w:val="21"/>
          <w:highlight w:val="none"/>
        </w:rPr>
        <w:t>仓储业所包括的行业中类，根据《国民经济行业分类》（GB/T 4754—2017）调整为“通用仓储，低温仓储，危险品仓储，谷物、棉花等农产品仓储，中药材仓储和其他仓储业”。</w:t>
      </w:r>
    </w:p>
    <w:p w14:paraId="713157A6">
      <w:pPr>
        <w:widowControl/>
        <w:spacing w:line="360" w:lineRule="auto"/>
        <w:jc w:val="left"/>
        <w:rPr>
          <w:rFonts w:ascii="宋体" w:hAnsi="宋体" w:cs="宋体"/>
          <w:kern w:val="0"/>
          <w:szCs w:val="21"/>
          <w:highlight w:val="none"/>
        </w:rPr>
      </w:pPr>
    </w:p>
    <w:p w14:paraId="3CEA3497">
      <w:pPr>
        <w:widowControl/>
        <w:spacing w:line="360" w:lineRule="auto"/>
        <w:jc w:val="left"/>
        <w:rPr>
          <w:rFonts w:ascii="宋体" w:hAnsi="宋体" w:cs="宋体"/>
          <w:kern w:val="0"/>
          <w:szCs w:val="21"/>
          <w:highlight w:val="none"/>
        </w:rPr>
      </w:pPr>
      <w:r>
        <w:rPr>
          <w:rFonts w:ascii="宋体" w:hAnsi="宋体" w:cs="宋体"/>
          <w:kern w:val="0"/>
          <w:szCs w:val="21"/>
          <w:highlight w:val="none"/>
        </w:rPr>
        <w:t>附表</w:t>
      </w:r>
    </w:p>
    <w:p w14:paraId="16D25631">
      <w:pPr>
        <w:widowControl/>
        <w:spacing w:line="360" w:lineRule="auto"/>
        <w:jc w:val="center"/>
        <w:rPr>
          <w:rFonts w:ascii="宋体" w:hAnsi="宋体" w:cs="宋体"/>
          <w:kern w:val="0"/>
          <w:szCs w:val="21"/>
          <w:highlight w:val="none"/>
        </w:rPr>
      </w:pPr>
      <w:r>
        <w:rPr>
          <w:rFonts w:ascii="宋体" w:hAnsi="宋体" w:cs="宋体"/>
          <w:b/>
          <w:bCs/>
          <w:kern w:val="0"/>
          <w:szCs w:val="21"/>
          <w:highlight w:val="none"/>
        </w:rPr>
        <w:t>统计上大中小微型企业划分标准</w:t>
      </w:r>
    </w:p>
    <w:tbl>
      <w:tblPr>
        <w:tblStyle w:val="23"/>
        <w:tblW w:w="0" w:type="auto"/>
        <w:jc w:val="center"/>
        <w:tblLayout w:type="fixed"/>
        <w:tblCellMar>
          <w:top w:w="0" w:type="dxa"/>
          <w:left w:w="108" w:type="dxa"/>
          <w:bottom w:w="0" w:type="dxa"/>
          <w:right w:w="108" w:type="dxa"/>
        </w:tblCellMar>
      </w:tblPr>
      <w:tblGrid>
        <w:gridCol w:w="2113"/>
        <w:gridCol w:w="1369"/>
        <w:gridCol w:w="709"/>
        <w:gridCol w:w="1125"/>
        <w:gridCol w:w="1701"/>
        <w:gridCol w:w="1426"/>
        <w:gridCol w:w="992"/>
      </w:tblGrid>
      <w:tr w14:paraId="54AC4ADC">
        <w:tblPrEx>
          <w:tblCellMar>
            <w:top w:w="0" w:type="dxa"/>
            <w:left w:w="108" w:type="dxa"/>
            <w:bottom w:w="0" w:type="dxa"/>
            <w:right w:w="108" w:type="dxa"/>
          </w:tblCellMar>
        </w:tblPrEx>
        <w:trPr>
          <w:trHeight w:val="622" w:hRule="exact"/>
          <w:jc w:val="center"/>
        </w:trPr>
        <w:tc>
          <w:tcPr>
            <w:tcW w:w="2113" w:type="dxa"/>
            <w:tcBorders>
              <w:top w:val="single" w:color="auto" w:sz="4" w:space="0"/>
              <w:left w:val="nil"/>
              <w:bottom w:val="single" w:color="auto" w:sz="4" w:space="0"/>
              <w:right w:val="single" w:color="auto" w:sz="4" w:space="0"/>
            </w:tcBorders>
            <w:vAlign w:val="center"/>
          </w:tcPr>
          <w:p w14:paraId="75A7F4F7">
            <w:pPr>
              <w:widowControl/>
              <w:spacing w:line="240" w:lineRule="exact"/>
              <w:jc w:val="center"/>
              <w:rPr>
                <w:rFonts w:ascii="宋体" w:hAnsi="宋体" w:cs="宋体"/>
                <w:b/>
                <w:bCs/>
                <w:kern w:val="0"/>
                <w:sz w:val="18"/>
                <w:szCs w:val="21"/>
                <w:highlight w:val="none"/>
              </w:rPr>
            </w:pPr>
            <w:r>
              <w:rPr>
                <w:rFonts w:hint="eastAsia" w:ascii="宋体" w:hAnsi="宋体" w:cs="宋体"/>
                <w:b/>
                <w:bCs/>
                <w:kern w:val="0"/>
                <w:sz w:val="18"/>
                <w:szCs w:val="21"/>
                <w:highlight w:val="none"/>
              </w:rPr>
              <w:t>行业名称</w:t>
            </w:r>
          </w:p>
        </w:tc>
        <w:tc>
          <w:tcPr>
            <w:tcW w:w="1369" w:type="dxa"/>
            <w:tcBorders>
              <w:top w:val="single" w:color="auto" w:sz="4" w:space="0"/>
              <w:left w:val="nil"/>
              <w:bottom w:val="single" w:color="auto" w:sz="4" w:space="0"/>
              <w:right w:val="single" w:color="auto" w:sz="4" w:space="0"/>
            </w:tcBorders>
            <w:vAlign w:val="center"/>
          </w:tcPr>
          <w:p w14:paraId="185346D4">
            <w:pPr>
              <w:widowControl/>
              <w:jc w:val="center"/>
              <w:rPr>
                <w:rFonts w:ascii="宋体" w:hAnsi="宋体" w:cs="宋体"/>
                <w:b/>
                <w:bCs/>
                <w:kern w:val="0"/>
                <w:sz w:val="18"/>
                <w:szCs w:val="18"/>
                <w:highlight w:val="none"/>
              </w:rPr>
            </w:pPr>
            <w:r>
              <w:rPr>
                <w:rFonts w:hint="eastAsia" w:ascii="宋体" w:hAnsi="宋体" w:cs="宋体"/>
                <w:b/>
                <w:bCs/>
                <w:kern w:val="0"/>
                <w:sz w:val="18"/>
                <w:szCs w:val="18"/>
                <w:highlight w:val="none"/>
              </w:rPr>
              <w:t>指标名称</w:t>
            </w:r>
          </w:p>
        </w:tc>
        <w:tc>
          <w:tcPr>
            <w:tcW w:w="709" w:type="dxa"/>
            <w:tcBorders>
              <w:top w:val="single" w:color="auto" w:sz="4" w:space="0"/>
              <w:left w:val="nil"/>
              <w:bottom w:val="single" w:color="auto" w:sz="4" w:space="0"/>
              <w:right w:val="single" w:color="auto" w:sz="4" w:space="0"/>
            </w:tcBorders>
            <w:vAlign w:val="center"/>
          </w:tcPr>
          <w:p w14:paraId="0CEA0206">
            <w:pPr>
              <w:widowControl/>
              <w:jc w:val="center"/>
              <w:rPr>
                <w:rFonts w:ascii="宋体" w:hAnsi="宋体" w:cs="宋体"/>
                <w:b/>
                <w:bCs/>
                <w:kern w:val="0"/>
                <w:sz w:val="18"/>
                <w:szCs w:val="18"/>
                <w:highlight w:val="none"/>
              </w:rPr>
            </w:pPr>
            <w:r>
              <w:rPr>
                <w:rFonts w:hint="eastAsia" w:ascii="宋体" w:hAnsi="宋体" w:cs="宋体"/>
                <w:b/>
                <w:bCs/>
                <w:kern w:val="0"/>
                <w:sz w:val="18"/>
                <w:szCs w:val="18"/>
                <w:highlight w:val="none"/>
              </w:rPr>
              <w:t>计量</w:t>
            </w:r>
          </w:p>
          <w:p w14:paraId="01A58385">
            <w:pPr>
              <w:widowControl/>
              <w:jc w:val="center"/>
              <w:rPr>
                <w:rFonts w:ascii="宋体" w:hAnsi="宋体" w:cs="宋体"/>
                <w:b/>
                <w:bCs/>
                <w:kern w:val="0"/>
                <w:sz w:val="18"/>
                <w:szCs w:val="18"/>
                <w:highlight w:val="none"/>
              </w:rPr>
            </w:pPr>
            <w:r>
              <w:rPr>
                <w:rFonts w:hint="eastAsia" w:ascii="宋体" w:hAnsi="宋体" w:cs="宋体"/>
                <w:b/>
                <w:bCs/>
                <w:kern w:val="0"/>
                <w:sz w:val="18"/>
                <w:szCs w:val="18"/>
                <w:highlight w:val="none"/>
              </w:rPr>
              <w:t>单位</w:t>
            </w:r>
          </w:p>
        </w:tc>
        <w:tc>
          <w:tcPr>
            <w:tcW w:w="1125" w:type="dxa"/>
            <w:tcBorders>
              <w:top w:val="single" w:color="auto" w:sz="4" w:space="0"/>
              <w:left w:val="nil"/>
              <w:bottom w:val="single" w:color="auto" w:sz="4" w:space="0"/>
              <w:right w:val="single" w:color="auto" w:sz="4" w:space="0"/>
            </w:tcBorders>
            <w:vAlign w:val="center"/>
          </w:tcPr>
          <w:p w14:paraId="65E4C4CE">
            <w:pPr>
              <w:widowControl/>
              <w:jc w:val="center"/>
              <w:rPr>
                <w:rFonts w:ascii="宋体" w:hAnsi="宋体" w:cs="宋体"/>
                <w:b/>
                <w:bCs/>
                <w:kern w:val="0"/>
                <w:sz w:val="18"/>
                <w:szCs w:val="18"/>
                <w:highlight w:val="none"/>
              </w:rPr>
            </w:pPr>
            <w:r>
              <w:rPr>
                <w:rFonts w:hint="eastAsia" w:ascii="宋体" w:hAnsi="宋体" w:cs="宋体"/>
                <w:b/>
                <w:bCs/>
                <w:kern w:val="0"/>
                <w:sz w:val="18"/>
                <w:szCs w:val="18"/>
                <w:highlight w:val="none"/>
              </w:rPr>
              <w:t>大型</w:t>
            </w:r>
          </w:p>
        </w:tc>
        <w:tc>
          <w:tcPr>
            <w:tcW w:w="1701" w:type="dxa"/>
            <w:tcBorders>
              <w:top w:val="single" w:color="auto" w:sz="4" w:space="0"/>
              <w:left w:val="nil"/>
              <w:bottom w:val="single" w:color="auto" w:sz="4" w:space="0"/>
              <w:right w:val="single" w:color="auto" w:sz="4" w:space="0"/>
            </w:tcBorders>
            <w:vAlign w:val="center"/>
          </w:tcPr>
          <w:p w14:paraId="065B3FAD">
            <w:pPr>
              <w:widowControl/>
              <w:jc w:val="center"/>
              <w:rPr>
                <w:rFonts w:ascii="宋体" w:hAnsi="宋体" w:cs="宋体"/>
                <w:b/>
                <w:bCs/>
                <w:kern w:val="0"/>
                <w:sz w:val="18"/>
                <w:szCs w:val="18"/>
                <w:highlight w:val="none"/>
              </w:rPr>
            </w:pPr>
            <w:r>
              <w:rPr>
                <w:rFonts w:hint="eastAsia" w:ascii="宋体" w:hAnsi="宋体" w:cs="宋体"/>
                <w:b/>
                <w:bCs/>
                <w:kern w:val="0"/>
                <w:sz w:val="18"/>
                <w:szCs w:val="18"/>
                <w:highlight w:val="none"/>
              </w:rPr>
              <w:t>中型</w:t>
            </w:r>
          </w:p>
        </w:tc>
        <w:tc>
          <w:tcPr>
            <w:tcW w:w="1426" w:type="dxa"/>
            <w:tcBorders>
              <w:top w:val="single" w:color="auto" w:sz="4" w:space="0"/>
              <w:left w:val="nil"/>
              <w:bottom w:val="single" w:color="auto" w:sz="4" w:space="0"/>
              <w:right w:val="single" w:color="auto" w:sz="4" w:space="0"/>
            </w:tcBorders>
            <w:vAlign w:val="center"/>
          </w:tcPr>
          <w:p w14:paraId="0098ABB8">
            <w:pPr>
              <w:widowControl/>
              <w:jc w:val="center"/>
              <w:rPr>
                <w:rFonts w:ascii="宋体" w:hAnsi="宋体" w:cs="宋体"/>
                <w:b/>
                <w:bCs/>
                <w:kern w:val="0"/>
                <w:sz w:val="18"/>
                <w:szCs w:val="18"/>
                <w:highlight w:val="none"/>
              </w:rPr>
            </w:pPr>
            <w:r>
              <w:rPr>
                <w:rFonts w:hint="eastAsia" w:ascii="宋体" w:hAnsi="宋体" w:cs="宋体"/>
                <w:b/>
                <w:bCs/>
                <w:kern w:val="0"/>
                <w:sz w:val="18"/>
                <w:szCs w:val="18"/>
                <w:highlight w:val="none"/>
              </w:rPr>
              <w:t>小型</w:t>
            </w:r>
          </w:p>
        </w:tc>
        <w:tc>
          <w:tcPr>
            <w:tcW w:w="992" w:type="dxa"/>
            <w:tcBorders>
              <w:top w:val="single" w:color="auto" w:sz="4" w:space="0"/>
              <w:left w:val="nil"/>
              <w:bottom w:val="single" w:color="auto" w:sz="4" w:space="0"/>
              <w:right w:val="nil"/>
            </w:tcBorders>
            <w:vAlign w:val="center"/>
          </w:tcPr>
          <w:p w14:paraId="6330E384">
            <w:pPr>
              <w:widowControl/>
              <w:jc w:val="center"/>
              <w:rPr>
                <w:rFonts w:ascii="宋体" w:hAnsi="宋体" w:cs="宋体"/>
                <w:b/>
                <w:bCs/>
                <w:kern w:val="0"/>
                <w:sz w:val="18"/>
                <w:szCs w:val="18"/>
                <w:highlight w:val="none"/>
              </w:rPr>
            </w:pPr>
            <w:r>
              <w:rPr>
                <w:rFonts w:hint="eastAsia" w:ascii="宋体" w:hAnsi="宋体" w:cs="宋体"/>
                <w:b/>
                <w:bCs/>
                <w:kern w:val="0"/>
                <w:sz w:val="18"/>
                <w:szCs w:val="18"/>
                <w:highlight w:val="none"/>
              </w:rPr>
              <w:t>微型</w:t>
            </w:r>
          </w:p>
        </w:tc>
      </w:tr>
      <w:tr w14:paraId="71019F20">
        <w:tblPrEx>
          <w:tblCellMar>
            <w:top w:w="0" w:type="dxa"/>
            <w:left w:w="108" w:type="dxa"/>
            <w:bottom w:w="0" w:type="dxa"/>
            <w:right w:w="108" w:type="dxa"/>
          </w:tblCellMar>
        </w:tblPrEx>
        <w:trPr>
          <w:trHeight w:val="397" w:hRule="exact"/>
          <w:jc w:val="center"/>
        </w:trPr>
        <w:tc>
          <w:tcPr>
            <w:tcW w:w="2113" w:type="dxa"/>
            <w:tcBorders>
              <w:top w:val="nil"/>
              <w:left w:val="nil"/>
              <w:bottom w:val="single" w:color="auto" w:sz="4" w:space="0"/>
              <w:right w:val="single" w:color="auto" w:sz="4" w:space="0"/>
            </w:tcBorders>
            <w:vAlign w:val="center"/>
          </w:tcPr>
          <w:p w14:paraId="46A63BBE">
            <w:pPr>
              <w:widowControl/>
              <w:spacing w:line="240" w:lineRule="exact"/>
              <w:jc w:val="left"/>
              <w:rPr>
                <w:rFonts w:ascii="宋体" w:hAnsi="宋体" w:cs="宋体"/>
                <w:kern w:val="0"/>
                <w:sz w:val="18"/>
                <w:szCs w:val="18"/>
                <w:highlight w:val="none"/>
              </w:rPr>
            </w:pPr>
            <w:r>
              <w:rPr>
                <w:rFonts w:hint="eastAsia" w:ascii="宋体" w:hAnsi="宋体" w:cs="宋体"/>
                <w:kern w:val="0"/>
                <w:sz w:val="18"/>
                <w:szCs w:val="18"/>
                <w:highlight w:val="none"/>
              </w:rPr>
              <w:t>农、林、牧、渔业</w:t>
            </w:r>
          </w:p>
        </w:tc>
        <w:tc>
          <w:tcPr>
            <w:tcW w:w="1369" w:type="dxa"/>
            <w:tcBorders>
              <w:top w:val="nil"/>
              <w:left w:val="nil"/>
              <w:bottom w:val="single" w:color="auto" w:sz="4" w:space="0"/>
              <w:right w:val="single" w:color="auto" w:sz="4" w:space="0"/>
            </w:tcBorders>
            <w:vAlign w:val="center"/>
          </w:tcPr>
          <w:p w14:paraId="5168723B">
            <w:pPr>
              <w:widowControl/>
              <w:jc w:val="center"/>
              <w:rPr>
                <w:rFonts w:ascii="宋体" w:hAnsi="宋体" w:cs="宋体"/>
                <w:kern w:val="0"/>
                <w:sz w:val="18"/>
                <w:szCs w:val="18"/>
                <w:highlight w:val="none"/>
              </w:rPr>
            </w:pPr>
            <w:r>
              <w:rPr>
                <w:rFonts w:hint="eastAsia" w:ascii="宋体" w:hAnsi="宋体" w:cs="宋体"/>
                <w:kern w:val="0"/>
                <w:sz w:val="18"/>
                <w:szCs w:val="18"/>
                <w:highlight w:val="none"/>
              </w:rPr>
              <w:t>营业收入(Y)</w:t>
            </w:r>
          </w:p>
        </w:tc>
        <w:tc>
          <w:tcPr>
            <w:tcW w:w="709" w:type="dxa"/>
            <w:tcBorders>
              <w:top w:val="nil"/>
              <w:left w:val="nil"/>
              <w:bottom w:val="single" w:color="auto" w:sz="4" w:space="0"/>
              <w:right w:val="single" w:color="auto" w:sz="4" w:space="0"/>
            </w:tcBorders>
            <w:vAlign w:val="center"/>
          </w:tcPr>
          <w:p w14:paraId="24CC1B20">
            <w:pPr>
              <w:widowControl/>
              <w:jc w:val="center"/>
              <w:rPr>
                <w:rFonts w:ascii="宋体" w:hAnsi="宋体" w:cs="宋体"/>
                <w:kern w:val="0"/>
                <w:sz w:val="18"/>
                <w:szCs w:val="18"/>
                <w:highlight w:val="none"/>
              </w:rPr>
            </w:pPr>
            <w:r>
              <w:rPr>
                <w:rFonts w:hint="eastAsia" w:ascii="宋体" w:hAnsi="宋体" w:cs="宋体"/>
                <w:kern w:val="0"/>
                <w:sz w:val="18"/>
                <w:szCs w:val="18"/>
                <w:highlight w:val="none"/>
              </w:rPr>
              <w:t>万元</w:t>
            </w:r>
          </w:p>
        </w:tc>
        <w:tc>
          <w:tcPr>
            <w:tcW w:w="1125" w:type="dxa"/>
            <w:tcBorders>
              <w:top w:val="nil"/>
              <w:left w:val="nil"/>
              <w:bottom w:val="single" w:color="auto" w:sz="4" w:space="0"/>
              <w:right w:val="single" w:color="auto" w:sz="4" w:space="0"/>
            </w:tcBorders>
            <w:vAlign w:val="center"/>
          </w:tcPr>
          <w:p w14:paraId="5ED35B38">
            <w:pPr>
              <w:widowControl/>
              <w:jc w:val="center"/>
              <w:rPr>
                <w:rFonts w:ascii="宋体" w:hAnsi="宋体" w:cs="宋体"/>
                <w:kern w:val="0"/>
                <w:sz w:val="18"/>
                <w:szCs w:val="18"/>
                <w:highlight w:val="none"/>
              </w:rPr>
            </w:pPr>
            <w:r>
              <w:rPr>
                <w:rFonts w:hint="eastAsia" w:ascii="宋体" w:hAnsi="宋体" w:cs="宋体"/>
                <w:kern w:val="0"/>
                <w:sz w:val="18"/>
                <w:szCs w:val="18"/>
                <w:highlight w:val="none"/>
              </w:rPr>
              <w:t>Y≥20000</w:t>
            </w:r>
          </w:p>
        </w:tc>
        <w:tc>
          <w:tcPr>
            <w:tcW w:w="1701" w:type="dxa"/>
            <w:tcBorders>
              <w:top w:val="nil"/>
              <w:left w:val="nil"/>
              <w:bottom w:val="single" w:color="auto" w:sz="4" w:space="0"/>
              <w:right w:val="single" w:color="auto" w:sz="4" w:space="0"/>
            </w:tcBorders>
            <w:vAlign w:val="center"/>
          </w:tcPr>
          <w:p w14:paraId="4CA3B1DA">
            <w:pPr>
              <w:widowControl/>
              <w:jc w:val="center"/>
              <w:rPr>
                <w:rFonts w:ascii="宋体" w:hAnsi="宋体" w:cs="宋体"/>
                <w:kern w:val="0"/>
                <w:sz w:val="18"/>
                <w:szCs w:val="18"/>
                <w:highlight w:val="none"/>
              </w:rPr>
            </w:pPr>
            <w:r>
              <w:rPr>
                <w:rFonts w:hint="eastAsia" w:ascii="宋体" w:hAnsi="宋体" w:cs="宋体"/>
                <w:kern w:val="0"/>
                <w:sz w:val="18"/>
                <w:szCs w:val="18"/>
                <w:highlight w:val="none"/>
              </w:rPr>
              <w:t xml:space="preserve"> 500≤Y＜20000</w:t>
            </w:r>
          </w:p>
        </w:tc>
        <w:tc>
          <w:tcPr>
            <w:tcW w:w="1426" w:type="dxa"/>
            <w:tcBorders>
              <w:top w:val="nil"/>
              <w:left w:val="nil"/>
              <w:bottom w:val="single" w:color="auto" w:sz="4" w:space="0"/>
              <w:right w:val="single" w:color="auto" w:sz="4" w:space="0"/>
            </w:tcBorders>
            <w:vAlign w:val="center"/>
          </w:tcPr>
          <w:p w14:paraId="73428C6E">
            <w:pPr>
              <w:widowControl/>
              <w:jc w:val="center"/>
              <w:rPr>
                <w:rFonts w:ascii="宋体" w:hAnsi="宋体" w:cs="宋体"/>
                <w:kern w:val="0"/>
                <w:sz w:val="18"/>
                <w:szCs w:val="18"/>
                <w:highlight w:val="none"/>
              </w:rPr>
            </w:pPr>
            <w:r>
              <w:rPr>
                <w:rFonts w:hint="eastAsia" w:ascii="宋体" w:hAnsi="宋体" w:cs="宋体"/>
                <w:kern w:val="0"/>
                <w:sz w:val="18"/>
                <w:szCs w:val="18"/>
                <w:highlight w:val="none"/>
              </w:rPr>
              <w:t xml:space="preserve"> 50≤Y＜500</w:t>
            </w:r>
          </w:p>
        </w:tc>
        <w:tc>
          <w:tcPr>
            <w:tcW w:w="992" w:type="dxa"/>
            <w:tcBorders>
              <w:top w:val="nil"/>
              <w:left w:val="nil"/>
              <w:bottom w:val="single" w:color="auto" w:sz="4" w:space="0"/>
              <w:right w:val="nil"/>
            </w:tcBorders>
            <w:vAlign w:val="center"/>
          </w:tcPr>
          <w:p w14:paraId="0ABFFDCE">
            <w:pPr>
              <w:widowControl/>
              <w:jc w:val="center"/>
              <w:rPr>
                <w:rFonts w:ascii="宋体" w:hAnsi="宋体" w:cs="宋体"/>
                <w:kern w:val="0"/>
                <w:sz w:val="18"/>
                <w:szCs w:val="18"/>
                <w:highlight w:val="none"/>
              </w:rPr>
            </w:pPr>
            <w:r>
              <w:rPr>
                <w:rFonts w:hint="eastAsia" w:ascii="宋体" w:hAnsi="宋体" w:cs="宋体"/>
                <w:kern w:val="0"/>
                <w:sz w:val="18"/>
                <w:szCs w:val="18"/>
                <w:highlight w:val="none"/>
              </w:rPr>
              <w:t>Y＜50</w:t>
            </w:r>
          </w:p>
        </w:tc>
      </w:tr>
      <w:tr w14:paraId="013C6160">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vAlign w:val="center"/>
          </w:tcPr>
          <w:p w14:paraId="1FD76F4D">
            <w:pPr>
              <w:widowControl/>
              <w:spacing w:line="240" w:lineRule="exact"/>
              <w:jc w:val="left"/>
              <w:rPr>
                <w:rFonts w:ascii="宋体" w:hAnsi="宋体" w:cs="宋体"/>
                <w:kern w:val="0"/>
                <w:sz w:val="18"/>
                <w:szCs w:val="18"/>
                <w:highlight w:val="none"/>
              </w:rPr>
            </w:pPr>
            <w:r>
              <w:rPr>
                <w:rFonts w:hint="eastAsia" w:ascii="宋体" w:hAnsi="宋体" w:cs="宋体"/>
                <w:kern w:val="0"/>
                <w:sz w:val="18"/>
                <w:szCs w:val="18"/>
                <w:highlight w:val="none"/>
              </w:rPr>
              <w:t>工业 *</w:t>
            </w:r>
          </w:p>
        </w:tc>
        <w:tc>
          <w:tcPr>
            <w:tcW w:w="1369" w:type="dxa"/>
            <w:tcBorders>
              <w:top w:val="nil"/>
              <w:left w:val="nil"/>
              <w:bottom w:val="nil"/>
              <w:right w:val="single" w:color="auto" w:sz="4" w:space="0"/>
            </w:tcBorders>
            <w:vAlign w:val="center"/>
          </w:tcPr>
          <w:p w14:paraId="5365DA53">
            <w:pPr>
              <w:widowControl/>
              <w:jc w:val="center"/>
              <w:rPr>
                <w:rFonts w:ascii="宋体" w:hAnsi="宋体" w:cs="宋体"/>
                <w:kern w:val="0"/>
                <w:sz w:val="18"/>
                <w:szCs w:val="18"/>
                <w:highlight w:val="none"/>
              </w:rPr>
            </w:pPr>
            <w:r>
              <w:rPr>
                <w:rFonts w:hint="eastAsia" w:ascii="宋体" w:hAnsi="宋体" w:cs="宋体"/>
                <w:kern w:val="0"/>
                <w:sz w:val="18"/>
                <w:szCs w:val="18"/>
                <w:highlight w:val="none"/>
              </w:rPr>
              <w:t>从业人员(X)</w:t>
            </w:r>
          </w:p>
        </w:tc>
        <w:tc>
          <w:tcPr>
            <w:tcW w:w="709" w:type="dxa"/>
            <w:tcBorders>
              <w:top w:val="nil"/>
              <w:left w:val="nil"/>
              <w:bottom w:val="nil"/>
              <w:right w:val="single" w:color="auto" w:sz="4" w:space="0"/>
            </w:tcBorders>
            <w:vAlign w:val="center"/>
          </w:tcPr>
          <w:p w14:paraId="3282B0F0">
            <w:pPr>
              <w:widowControl/>
              <w:jc w:val="center"/>
              <w:rPr>
                <w:rFonts w:ascii="宋体" w:hAnsi="宋体" w:cs="宋体"/>
                <w:kern w:val="0"/>
                <w:sz w:val="18"/>
                <w:szCs w:val="18"/>
                <w:highlight w:val="none"/>
              </w:rPr>
            </w:pPr>
            <w:r>
              <w:rPr>
                <w:rFonts w:hint="eastAsia" w:ascii="宋体" w:hAnsi="宋体" w:cs="宋体"/>
                <w:kern w:val="0"/>
                <w:sz w:val="18"/>
                <w:szCs w:val="18"/>
                <w:highlight w:val="none"/>
              </w:rPr>
              <w:t>人</w:t>
            </w:r>
          </w:p>
        </w:tc>
        <w:tc>
          <w:tcPr>
            <w:tcW w:w="1125" w:type="dxa"/>
            <w:tcBorders>
              <w:top w:val="nil"/>
              <w:left w:val="nil"/>
              <w:bottom w:val="nil"/>
              <w:right w:val="single" w:color="auto" w:sz="4" w:space="0"/>
            </w:tcBorders>
            <w:vAlign w:val="center"/>
          </w:tcPr>
          <w:p w14:paraId="4126ED03">
            <w:pPr>
              <w:widowControl/>
              <w:jc w:val="center"/>
              <w:rPr>
                <w:rFonts w:ascii="宋体" w:hAnsi="宋体" w:cs="宋体"/>
                <w:kern w:val="0"/>
                <w:sz w:val="18"/>
                <w:szCs w:val="18"/>
                <w:highlight w:val="none"/>
              </w:rPr>
            </w:pPr>
            <w:r>
              <w:rPr>
                <w:rFonts w:hint="eastAsia" w:ascii="宋体" w:hAnsi="宋体" w:cs="宋体"/>
                <w:kern w:val="0"/>
                <w:sz w:val="18"/>
                <w:szCs w:val="18"/>
                <w:highlight w:val="none"/>
              </w:rPr>
              <w:t>X≥1000</w:t>
            </w:r>
          </w:p>
        </w:tc>
        <w:tc>
          <w:tcPr>
            <w:tcW w:w="1701" w:type="dxa"/>
            <w:tcBorders>
              <w:top w:val="nil"/>
              <w:left w:val="nil"/>
              <w:bottom w:val="nil"/>
              <w:right w:val="single" w:color="auto" w:sz="4" w:space="0"/>
            </w:tcBorders>
            <w:vAlign w:val="center"/>
          </w:tcPr>
          <w:p w14:paraId="5909E234">
            <w:pPr>
              <w:widowControl/>
              <w:jc w:val="center"/>
              <w:rPr>
                <w:rFonts w:ascii="宋体" w:hAnsi="宋体" w:cs="宋体"/>
                <w:kern w:val="0"/>
                <w:sz w:val="18"/>
                <w:szCs w:val="18"/>
                <w:highlight w:val="none"/>
              </w:rPr>
            </w:pPr>
            <w:r>
              <w:rPr>
                <w:rFonts w:hint="eastAsia" w:ascii="宋体" w:hAnsi="宋体" w:cs="宋体"/>
                <w:kern w:val="0"/>
                <w:sz w:val="18"/>
                <w:szCs w:val="18"/>
                <w:highlight w:val="none"/>
              </w:rPr>
              <w:t>300≤X＜1000</w:t>
            </w:r>
          </w:p>
        </w:tc>
        <w:tc>
          <w:tcPr>
            <w:tcW w:w="1426" w:type="dxa"/>
            <w:tcBorders>
              <w:top w:val="nil"/>
              <w:left w:val="nil"/>
              <w:bottom w:val="nil"/>
              <w:right w:val="single" w:color="auto" w:sz="4" w:space="0"/>
            </w:tcBorders>
            <w:vAlign w:val="center"/>
          </w:tcPr>
          <w:p w14:paraId="1230CEB4">
            <w:pPr>
              <w:widowControl/>
              <w:jc w:val="center"/>
              <w:rPr>
                <w:rFonts w:ascii="宋体" w:hAnsi="宋体" w:cs="宋体"/>
                <w:kern w:val="0"/>
                <w:sz w:val="18"/>
                <w:szCs w:val="18"/>
                <w:highlight w:val="none"/>
              </w:rPr>
            </w:pPr>
            <w:r>
              <w:rPr>
                <w:rFonts w:hint="eastAsia" w:ascii="宋体" w:hAnsi="宋体" w:cs="宋体"/>
                <w:kern w:val="0"/>
                <w:sz w:val="18"/>
                <w:szCs w:val="18"/>
                <w:highlight w:val="none"/>
              </w:rPr>
              <w:t xml:space="preserve"> 20≤X＜300</w:t>
            </w:r>
          </w:p>
        </w:tc>
        <w:tc>
          <w:tcPr>
            <w:tcW w:w="992" w:type="dxa"/>
            <w:tcBorders>
              <w:top w:val="nil"/>
              <w:left w:val="nil"/>
              <w:bottom w:val="nil"/>
              <w:right w:val="nil"/>
            </w:tcBorders>
            <w:vAlign w:val="center"/>
          </w:tcPr>
          <w:p w14:paraId="639B994F">
            <w:pPr>
              <w:widowControl/>
              <w:jc w:val="center"/>
              <w:rPr>
                <w:rFonts w:ascii="宋体" w:hAnsi="宋体" w:cs="宋体"/>
                <w:kern w:val="0"/>
                <w:sz w:val="18"/>
                <w:szCs w:val="18"/>
                <w:highlight w:val="none"/>
              </w:rPr>
            </w:pPr>
            <w:r>
              <w:rPr>
                <w:rFonts w:hint="eastAsia" w:ascii="宋体" w:hAnsi="宋体" w:cs="宋体"/>
                <w:kern w:val="0"/>
                <w:sz w:val="18"/>
                <w:szCs w:val="18"/>
                <w:highlight w:val="none"/>
              </w:rPr>
              <w:t>X＜20</w:t>
            </w:r>
          </w:p>
        </w:tc>
      </w:tr>
      <w:tr w14:paraId="3A2D1664">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253D7D01">
            <w:pPr>
              <w:widowControl/>
              <w:jc w:val="left"/>
              <w:rPr>
                <w:rFonts w:ascii="宋体" w:hAnsi="宋体" w:cs="宋体"/>
                <w:kern w:val="0"/>
                <w:sz w:val="18"/>
                <w:szCs w:val="18"/>
                <w:highlight w:val="none"/>
              </w:rPr>
            </w:pPr>
          </w:p>
        </w:tc>
        <w:tc>
          <w:tcPr>
            <w:tcW w:w="1369" w:type="dxa"/>
            <w:tcBorders>
              <w:top w:val="nil"/>
              <w:left w:val="nil"/>
              <w:bottom w:val="single" w:color="auto" w:sz="4" w:space="0"/>
              <w:right w:val="single" w:color="auto" w:sz="4" w:space="0"/>
            </w:tcBorders>
            <w:vAlign w:val="center"/>
          </w:tcPr>
          <w:p w14:paraId="3CFD3FE0">
            <w:pPr>
              <w:widowControl/>
              <w:spacing w:line="240" w:lineRule="exact"/>
              <w:jc w:val="center"/>
              <w:rPr>
                <w:rFonts w:ascii="宋体" w:hAnsi="宋体" w:cs="宋体"/>
                <w:kern w:val="0"/>
                <w:sz w:val="18"/>
                <w:szCs w:val="18"/>
                <w:highlight w:val="none"/>
              </w:rPr>
            </w:pPr>
            <w:r>
              <w:rPr>
                <w:rFonts w:hint="eastAsia" w:ascii="宋体" w:hAnsi="宋体" w:cs="宋体"/>
                <w:kern w:val="0"/>
                <w:sz w:val="18"/>
                <w:szCs w:val="18"/>
                <w:highlight w:val="none"/>
              </w:rPr>
              <w:t>营业收入(Y)</w:t>
            </w:r>
          </w:p>
        </w:tc>
        <w:tc>
          <w:tcPr>
            <w:tcW w:w="709" w:type="dxa"/>
            <w:tcBorders>
              <w:top w:val="nil"/>
              <w:left w:val="nil"/>
              <w:bottom w:val="single" w:color="auto" w:sz="4" w:space="0"/>
              <w:right w:val="single" w:color="auto" w:sz="4" w:space="0"/>
            </w:tcBorders>
            <w:vAlign w:val="center"/>
          </w:tcPr>
          <w:p w14:paraId="0E15F033">
            <w:pPr>
              <w:widowControl/>
              <w:jc w:val="center"/>
              <w:rPr>
                <w:rFonts w:ascii="宋体" w:hAnsi="宋体" w:cs="宋体"/>
                <w:kern w:val="0"/>
                <w:sz w:val="18"/>
                <w:szCs w:val="18"/>
                <w:highlight w:val="none"/>
              </w:rPr>
            </w:pPr>
            <w:r>
              <w:rPr>
                <w:rFonts w:hint="eastAsia" w:ascii="宋体" w:hAnsi="宋体" w:cs="宋体"/>
                <w:kern w:val="0"/>
                <w:sz w:val="18"/>
                <w:szCs w:val="18"/>
                <w:highlight w:val="none"/>
              </w:rPr>
              <w:t>万元</w:t>
            </w:r>
          </w:p>
        </w:tc>
        <w:tc>
          <w:tcPr>
            <w:tcW w:w="1125" w:type="dxa"/>
            <w:tcBorders>
              <w:top w:val="nil"/>
              <w:left w:val="nil"/>
              <w:bottom w:val="single" w:color="auto" w:sz="4" w:space="0"/>
              <w:right w:val="single" w:color="auto" w:sz="4" w:space="0"/>
            </w:tcBorders>
            <w:vAlign w:val="center"/>
          </w:tcPr>
          <w:p w14:paraId="0335EC2B">
            <w:pPr>
              <w:widowControl/>
              <w:jc w:val="center"/>
              <w:rPr>
                <w:rFonts w:ascii="宋体" w:hAnsi="宋体" w:cs="宋体"/>
                <w:kern w:val="0"/>
                <w:sz w:val="18"/>
                <w:szCs w:val="18"/>
                <w:highlight w:val="none"/>
              </w:rPr>
            </w:pPr>
            <w:r>
              <w:rPr>
                <w:rFonts w:hint="eastAsia" w:ascii="宋体" w:hAnsi="宋体" w:cs="宋体"/>
                <w:kern w:val="0"/>
                <w:sz w:val="18"/>
                <w:szCs w:val="18"/>
                <w:highlight w:val="none"/>
              </w:rPr>
              <w:t>Y≥40000</w:t>
            </w:r>
          </w:p>
        </w:tc>
        <w:tc>
          <w:tcPr>
            <w:tcW w:w="1701" w:type="dxa"/>
            <w:tcBorders>
              <w:top w:val="nil"/>
              <w:left w:val="nil"/>
              <w:bottom w:val="single" w:color="auto" w:sz="4" w:space="0"/>
              <w:right w:val="single" w:color="auto" w:sz="4" w:space="0"/>
            </w:tcBorders>
            <w:vAlign w:val="center"/>
          </w:tcPr>
          <w:p w14:paraId="3BB18278">
            <w:pPr>
              <w:widowControl/>
              <w:jc w:val="center"/>
              <w:rPr>
                <w:rFonts w:ascii="宋体" w:hAnsi="宋体" w:cs="宋体"/>
                <w:kern w:val="0"/>
                <w:sz w:val="18"/>
                <w:szCs w:val="18"/>
                <w:highlight w:val="none"/>
              </w:rPr>
            </w:pPr>
            <w:r>
              <w:rPr>
                <w:rFonts w:hint="eastAsia" w:ascii="宋体" w:hAnsi="宋体" w:cs="宋体"/>
                <w:kern w:val="0"/>
                <w:sz w:val="18"/>
                <w:szCs w:val="18"/>
                <w:highlight w:val="none"/>
              </w:rPr>
              <w:t>2000≤Y＜40000</w:t>
            </w:r>
          </w:p>
        </w:tc>
        <w:tc>
          <w:tcPr>
            <w:tcW w:w="1426" w:type="dxa"/>
            <w:tcBorders>
              <w:top w:val="nil"/>
              <w:left w:val="nil"/>
              <w:bottom w:val="single" w:color="auto" w:sz="4" w:space="0"/>
              <w:right w:val="single" w:color="auto" w:sz="4" w:space="0"/>
            </w:tcBorders>
            <w:vAlign w:val="center"/>
          </w:tcPr>
          <w:p w14:paraId="514B3B59">
            <w:pPr>
              <w:widowControl/>
              <w:jc w:val="center"/>
              <w:rPr>
                <w:rFonts w:ascii="宋体" w:hAnsi="宋体" w:cs="宋体"/>
                <w:kern w:val="0"/>
                <w:sz w:val="18"/>
                <w:szCs w:val="18"/>
                <w:highlight w:val="none"/>
              </w:rPr>
            </w:pPr>
            <w:r>
              <w:rPr>
                <w:rFonts w:hint="eastAsia" w:ascii="宋体" w:hAnsi="宋体" w:cs="宋体"/>
                <w:kern w:val="0"/>
                <w:sz w:val="18"/>
                <w:szCs w:val="18"/>
                <w:highlight w:val="none"/>
              </w:rPr>
              <w:t xml:space="preserve"> 300≤Y＜2000</w:t>
            </w:r>
          </w:p>
        </w:tc>
        <w:tc>
          <w:tcPr>
            <w:tcW w:w="992" w:type="dxa"/>
            <w:tcBorders>
              <w:top w:val="nil"/>
              <w:left w:val="nil"/>
              <w:bottom w:val="single" w:color="auto" w:sz="4" w:space="0"/>
              <w:right w:val="nil"/>
            </w:tcBorders>
            <w:vAlign w:val="center"/>
          </w:tcPr>
          <w:p w14:paraId="032E5C02">
            <w:pPr>
              <w:widowControl/>
              <w:jc w:val="center"/>
              <w:rPr>
                <w:rFonts w:ascii="宋体" w:hAnsi="宋体" w:cs="宋体"/>
                <w:kern w:val="0"/>
                <w:sz w:val="18"/>
                <w:szCs w:val="18"/>
                <w:highlight w:val="none"/>
              </w:rPr>
            </w:pPr>
            <w:r>
              <w:rPr>
                <w:rFonts w:hint="eastAsia" w:ascii="宋体" w:hAnsi="宋体" w:cs="宋体"/>
                <w:kern w:val="0"/>
                <w:sz w:val="18"/>
                <w:szCs w:val="18"/>
                <w:highlight w:val="none"/>
              </w:rPr>
              <w:t>Y＜300</w:t>
            </w:r>
          </w:p>
        </w:tc>
      </w:tr>
      <w:tr w14:paraId="53E4E14E">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vAlign w:val="center"/>
          </w:tcPr>
          <w:p w14:paraId="72854B47">
            <w:pPr>
              <w:widowControl/>
              <w:spacing w:line="240" w:lineRule="exact"/>
              <w:jc w:val="left"/>
              <w:rPr>
                <w:rFonts w:ascii="宋体" w:hAnsi="宋体" w:cs="宋体"/>
                <w:kern w:val="0"/>
                <w:sz w:val="18"/>
                <w:szCs w:val="18"/>
                <w:highlight w:val="none"/>
              </w:rPr>
            </w:pPr>
            <w:r>
              <w:rPr>
                <w:rFonts w:hint="eastAsia" w:ascii="宋体" w:hAnsi="宋体" w:cs="宋体"/>
                <w:kern w:val="0"/>
                <w:sz w:val="18"/>
                <w:szCs w:val="18"/>
                <w:highlight w:val="none"/>
              </w:rPr>
              <w:t>建筑业</w:t>
            </w:r>
          </w:p>
        </w:tc>
        <w:tc>
          <w:tcPr>
            <w:tcW w:w="1369" w:type="dxa"/>
            <w:tcBorders>
              <w:top w:val="nil"/>
              <w:left w:val="nil"/>
              <w:bottom w:val="nil"/>
              <w:right w:val="single" w:color="auto" w:sz="4" w:space="0"/>
            </w:tcBorders>
            <w:vAlign w:val="center"/>
          </w:tcPr>
          <w:p w14:paraId="02302C39">
            <w:pPr>
              <w:widowControl/>
              <w:jc w:val="center"/>
              <w:rPr>
                <w:rFonts w:ascii="宋体" w:hAnsi="宋体" w:cs="宋体"/>
                <w:kern w:val="0"/>
                <w:sz w:val="18"/>
                <w:szCs w:val="18"/>
                <w:highlight w:val="none"/>
              </w:rPr>
            </w:pPr>
            <w:r>
              <w:rPr>
                <w:rFonts w:hint="eastAsia" w:ascii="宋体" w:hAnsi="宋体" w:cs="宋体"/>
                <w:kern w:val="0"/>
                <w:sz w:val="18"/>
                <w:szCs w:val="18"/>
                <w:highlight w:val="none"/>
              </w:rPr>
              <w:t>营业收入(Y)</w:t>
            </w:r>
          </w:p>
        </w:tc>
        <w:tc>
          <w:tcPr>
            <w:tcW w:w="709" w:type="dxa"/>
            <w:tcBorders>
              <w:top w:val="nil"/>
              <w:left w:val="nil"/>
              <w:bottom w:val="nil"/>
              <w:right w:val="single" w:color="auto" w:sz="4" w:space="0"/>
            </w:tcBorders>
            <w:vAlign w:val="center"/>
          </w:tcPr>
          <w:p w14:paraId="726619A7">
            <w:pPr>
              <w:widowControl/>
              <w:jc w:val="center"/>
              <w:rPr>
                <w:rFonts w:ascii="宋体" w:hAnsi="宋体" w:cs="宋体"/>
                <w:kern w:val="0"/>
                <w:sz w:val="18"/>
                <w:szCs w:val="18"/>
                <w:highlight w:val="none"/>
              </w:rPr>
            </w:pPr>
            <w:r>
              <w:rPr>
                <w:rFonts w:hint="eastAsia" w:ascii="宋体" w:hAnsi="宋体" w:cs="宋体"/>
                <w:kern w:val="0"/>
                <w:sz w:val="18"/>
                <w:szCs w:val="18"/>
                <w:highlight w:val="none"/>
              </w:rPr>
              <w:t>万元</w:t>
            </w:r>
          </w:p>
        </w:tc>
        <w:tc>
          <w:tcPr>
            <w:tcW w:w="1125" w:type="dxa"/>
            <w:tcBorders>
              <w:top w:val="nil"/>
              <w:left w:val="nil"/>
              <w:bottom w:val="nil"/>
              <w:right w:val="single" w:color="auto" w:sz="4" w:space="0"/>
            </w:tcBorders>
            <w:vAlign w:val="center"/>
          </w:tcPr>
          <w:p w14:paraId="53E50D2F">
            <w:pPr>
              <w:widowControl/>
              <w:jc w:val="center"/>
              <w:rPr>
                <w:rFonts w:ascii="宋体" w:hAnsi="宋体" w:cs="宋体"/>
                <w:kern w:val="0"/>
                <w:sz w:val="18"/>
                <w:szCs w:val="18"/>
                <w:highlight w:val="none"/>
              </w:rPr>
            </w:pPr>
            <w:r>
              <w:rPr>
                <w:rFonts w:hint="eastAsia" w:ascii="宋体" w:hAnsi="宋体" w:cs="宋体"/>
                <w:kern w:val="0"/>
                <w:sz w:val="18"/>
                <w:szCs w:val="18"/>
                <w:highlight w:val="none"/>
              </w:rPr>
              <w:t>Y≥80000</w:t>
            </w:r>
          </w:p>
        </w:tc>
        <w:tc>
          <w:tcPr>
            <w:tcW w:w="1701" w:type="dxa"/>
            <w:tcBorders>
              <w:top w:val="nil"/>
              <w:left w:val="nil"/>
              <w:bottom w:val="nil"/>
              <w:right w:val="single" w:color="auto" w:sz="4" w:space="0"/>
            </w:tcBorders>
            <w:vAlign w:val="center"/>
          </w:tcPr>
          <w:p w14:paraId="7AE404A4">
            <w:pPr>
              <w:widowControl/>
              <w:jc w:val="center"/>
              <w:rPr>
                <w:rFonts w:ascii="宋体" w:hAnsi="宋体" w:cs="宋体"/>
                <w:kern w:val="0"/>
                <w:sz w:val="18"/>
                <w:szCs w:val="18"/>
                <w:highlight w:val="none"/>
              </w:rPr>
            </w:pPr>
            <w:r>
              <w:rPr>
                <w:rFonts w:hint="eastAsia" w:ascii="宋体" w:hAnsi="宋体" w:cs="宋体"/>
                <w:kern w:val="0"/>
                <w:sz w:val="18"/>
                <w:szCs w:val="18"/>
                <w:highlight w:val="none"/>
              </w:rPr>
              <w:t>6000≤Y＜80000</w:t>
            </w:r>
          </w:p>
        </w:tc>
        <w:tc>
          <w:tcPr>
            <w:tcW w:w="1426" w:type="dxa"/>
            <w:tcBorders>
              <w:top w:val="nil"/>
              <w:left w:val="nil"/>
              <w:bottom w:val="nil"/>
              <w:right w:val="single" w:color="auto" w:sz="4" w:space="0"/>
            </w:tcBorders>
            <w:vAlign w:val="center"/>
          </w:tcPr>
          <w:p w14:paraId="0881CE61">
            <w:pPr>
              <w:widowControl/>
              <w:jc w:val="center"/>
              <w:rPr>
                <w:rFonts w:ascii="宋体" w:hAnsi="宋体" w:cs="宋体"/>
                <w:kern w:val="0"/>
                <w:sz w:val="18"/>
                <w:szCs w:val="18"/>
                <w:highlight w:val="none"/>
              </w:rPr>
            </w:pPr>
            <w:r>
              <w:rPr>
                <w:rFonts w:hint="eastAsia" w:ascii="宋体" w:hAnsi="宋体" w:cs="宋体"/>
                <w:kern w:val="0"/>
                <w:sz w:val="18"/>
                <w:szCs w:val="18"/>
                <w:highlight w:val="none"/>
              </w:rPr>
              <w:t xml:space="preserve"> 300≤Y＜6000</w:t>
            </w:r>
          </w:p>
        </w:tc>
        <w:tc>
          <w:tcPr>
            <w:tcW w:w="992" w:type="dxa"/>
            <w:tcBorders>
              <w:top w:val="nil"/>
              <w:left w:val="nil"/>
              <w:bottom w:val="nil"/>
              <w:right w:val="nil"/>
            </w:tcBorders>
            <w:vAlign w:val="center"/>
          </w:tcPr>
          <w:p w14:paraId="092590DD">
            <w:pPr>
              <w:widowControl/>
              <w:jc w:val="center"/>
              <w:rPr>
                <w:rFonts w:ascii="宋体" w:hAnsi="宋体" w:cs="宋体"/>
                <w:kern w:val="0"/>
                <w:sz w:val="18"/>
                <w:szCs w:val="18"/>
                <w:highlight w:val="none"/>
              </w:rPr>
            </w:pPr>
            <w:r>
              <w:rPr>
                <w:rFonts w:hint="eastAsia" w:ascii="宋体" w:hAnsi="宋体" w:cs="宋体"/>
                <w:kern w:val="0"/>
                <w:sz w:val="18"/>
                <w:szCs w:val="18"/>
                <w:highlight w:val="none"/>
              </w:rPr>
              <w:t>Y＜300</w:t>
            </w:r>
          </w:p>
        </w:tc>
      </w:tr>
      <w:tr w14:paraId="0DFF8DC6">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4CC3591B">
            <w:pPr>
              <w:widowControl/>
              <w:jc w:val="left"/>
              <w:rPr>
                <w:rFonts w:ascii="宋体" w:hAnsi="宋体" w:cs="宋体"/>
                <w:kern w:val="0"/>
                <w:sz w:val="18"/>
                <w:szCs w:val="18"/>
                <w:highlight w:val="none"/>
              </w:rPr>
            </w:pPr>
          </w:p>
        </w:tc>
        <w:tc>
          <w:tcPr>
            <w:tcW w:w="1369" w:type="dxa"/>
            <w:tcBorders>
              <w:top w:val="nil"/>
              <w:left w:val="nil"/>
              <w:bottom w:val="single" w:color="auto" w:sz="4" w:space="0"/>
              <w:right w:val="single" w:color="auto" w:sz="4" w:space="0"/>
            </w:tcBorders>
            <w:vAlign w:val="center"/>
          </w:tcPr>
          <w:p w14:paraId="3DD4B2C6">
            <w:pPr>
              <w:widowControl/>
              <w:spacing w:line="240" w:lineRule="exact"/>
              <w:jc w:val="center"/>
              <w:rPr>
                <w:rFonts w:ascii="宋体" w:hAnsi="宋体" w:cs="宋体"/>
                <w:kern w:val="0"/>
                <w:sz w:val="18"/>
                <w:szCs w:val="18"/>
                <w:highlight w:val="none"/>
              </w:rPr>
            </w:pPr>
            <w:r>
              <w:rPr>
                <w:rFonts w:hint="eastAsia" w:ascii="宋体" w:hAnsi="宋体" w:cs="宋体"/>
                <w:kern w:val="0"/>
                <w:sz w:val="18"/>
                <w:szCs w:val="18"/>
                <w:highlight w:val="none"/>
              </w:rPr>
              <w:t>资产总额(Z)</w:t>
            </w:r>
          </w:p>
        </w:tc>
        <w:tc>
          <w:tcPr>
            <w:tcW w:w="709" w:type="dxa"/>
            <w:tcBorders>
              <w:top w:val="nil"/>
              <w:left w:val="nil"/>
              <w:bottom w:val="single" w:color="auto" w:sz="4" w:space="0"/>
              <w:right w:val="single" w:color="auto" w:sz="4" w:space="0"/>
            </w:tcBorders>
            <w:vAlign w:val="center"/>
          </w:tcPr>
          <w:p w14:paraId="271917F5">
            <w:pPr>
              <w:widowControl/>
              <w:jc w:val="center"/>
              <w:rPr>
                <w:rFonts w:ascii="宋体" w:hAnsi="宋体" w:cs="宋体"/>
                <w:kern w:val="0"/>
                <w:sz w:val="18"/>
                <w:szCs w:val="18"/>
                <w:highlight w:val="none"/>
              </w:rPr>
            </w:pPr>
            <w:r>
              <w:rPr>
                <w:rFonts w:hint="eastAsia" w:ascii="宋体" w:hAnsi="宋体" w:cs="宋体"/>
                <w:kern w:val="0"/>
                <w:sz w:val="18"/>
                <w:szCs w:val="18"/>
                <w:highlight w:val="none"/>
              </w:rPr>
              <w:t>万元</w:t>
            </w:r>
          </w:p>
        </w:tc>
        <w:tc>
          <w:tcPr>
            <w:tcW w:w="1125" w:type="dxa"/>
            <w:tcBorders>
              <w:top w:val="nil"/>
              <w:left w:val="nil"/>
              <w:bottom w:val="single" w:color="auto" w:sz="4" w:space="0"/>
              <w:right w:val="single" w:color="auto" w:sz="4" w:space="0"/>
            </w:tcBorders>
            <w:vAlign w:val="center"/>
          </w:tcPr>
          <w:p w14:paraId="0C51D2AE">
            <w:pPr>
              <w:widowControl/>
              <w:jc w:val="center"/>
              <w:rPr>
                <w:rFonts w:ascii="宋体" w:hAnsi="宋体" w:cs="宋体"/>
                <w:kern w:val="0"/>
                <w:sz w:val="18"/>
                <w:szCs w:val="18"/>
                <w:highlight w:val="none"/>
              </w:rPr>
            </w:pPr>
            <w:r>
              <w:rPr>
                <w:rFonts w:hint="eastAsia" w:ascii="宋体" w:hAnsi="宋体" w:cs="宋体"/>
                <w:kern w:val="0"/>
                <w:sz w:val="18"/>
                <w:szCs w:val="18"/>
                <w:highlight w:val="none"/>
              </w:rPr>
              <w:t>Z≥80000</w:t>
            </w:r>
          </w:p>
        </w:tc>
        <w:tc>
          <w:tcPr>
            <w:tcW w:w="1701" w:type="dxa"/>
            <w:tcBorders>
              <w:top w:val="nil"/>
              <w:left w:val="nil"/>
              <w:bottom w:val="single" w:color="auto" w:sz="4" w:space="0"/>
              <w:right w:val="single" w:color="auto" w:sz="4" w:space="0"/>
            </w:tcBorders>
            <w:vAlign w:val="center"/>
          </w:tcPr>
          <w:p w14:paraId="1D0B0DEC">
            <w:pPr>
              <w:widowControl/>
              <w:jc w:val="center"/>
              <w:rPr>
                <w:rFonts w:ascii="宋体" w:hAnsi="宋体" w:cs="宋体"/>
                <w:kern w:val="0"/>
                <w:sz w:val="18"/>
                <w:szCs w:val="18"/>
                <w:highlight w:val="none"/>
              </w:rPr>
            </w:pPr>
            <w:r>
              <w:rPr>
                <w:rFonts w:hint="eastAsia" w:ascii="宋体" w:hAnsi="宋体" w:cs="宋体"/>
                <w:kern w:val="0"/>
                <w:sz w:val="18"/>
                <w:szCs w:val="18"/>
                <w:highlight w:val="none"/>
              </w:rPr>
              <w:t>5000≤Z＜80000</w:t>
            </w:r>
          </w:p>
        </w:tc>
        <w:tc>
          <w:tcPr>
            <w:tcW w:w="1426" w:type="dxa"/>
            <w:tcBorders>
              <w:top w:val="nil"/>
              <w:left w:val="nil"/>
              <w:bottom w:val="single" w:color="auto" w:sz="4" w:space="0"/>
              <w:right w:val="single" w:color="auto" w:sz="4" w:space="0"/>
            </w:tcBorders>
            <w:vAlign w:val="center"/>
          </w:tcPr>
          <w:p w14:paraId="1EB43381">
            <w:pPr>
              <w:widowControl/>
              <w:jc w:val="center"/>
              <w:rPr>
                <w:rFonts w:ascii="宋体" w:hAnsi="宋体" w:cs="宋体"/>
                <w:kern w:val="0"/>
                <w:sz w:val="18"/>
                <w:szCs w:val="18"/>
                <w:highlight w:val="none"/>
              </w:rPr>
            </w:pPr>
            <w:r>
              <w:rPr>
                <w:rFonts w:hint="eastAsia" w:ascii="宋体" w:hAnsi="宋体" w:cs="宋体"/>
                <w:kern w:val="0"/>
                <w:sz w:val="18"/>
                <w:szCs w:val="18"/>
                <w:highlight w:val="none"/>
              </w:rPr>
              <w:t xml:space="preserve"> 300≤Z＜5000</w:t>
            </w:r>
          </w:p>
        </w:tc>
        <w:tc>
          <w:tcPr>
            <w:tcW w:w="992" w:type="dxa"/>
            <w:tcBorders>
              <w:top w:val="nil"/>
              <w:left w:val="nil"/>
              <w:bottom w:val="single" w:color="auto" w:sz="4" w:space="0"/>
              <w:right w:val="nil"/>
            </w:tcBorders>
            <w:vAlign w:val="center"/>
          </w:tcPr>
          <w:p w14:paraId="7156B4B1">
            <w:pPr>
              <w:widowControl/>
              <w:jc w:val="center"/>
              <w:rPr>
                <w:rFonts w:ascii="宋体" w:hAnsi="宋体" w:cs="宋体"/>
                <w:kern w:val="0"/>
                <w:sz w:val="18"/>
                <w:szCs w:val="18"/>
                <w:highlight w:val="none"/>
              </w:rPr>
            </w:pPr>
            <w:r>
              <w:rPr>
                <w:rFonts w:hint="eastAsia" w:ascii="宋体" w:hAnsi="宋体" w:cs="宋体"/>
                <w:kern w:val="0"/>
                <w:sz w:val="18"/>
                <w:szCs w:val="18"/>
                <w:highlight w:val="none"/>
              </w:rPr>
              <w:t>Z＜300</w:t>
            </w:r>
          </w:p>
        </w:tc>
      </w:tr>
      <w:tr w14:paraId="21661F58">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vAlign w:val="center"/>
          </w:tcPr>
          <w:p w14:paraId="3D246EE2">
            <w:pPr>
              <w:widowControl/>
              <w:spacing w:line="240" w:lineRule="exact"/>
              <w:jc w:val="left"/>
              <w:rPr>
                <w:rFonts w:ascii="宋体" w:hAnsi="宋体" w:cs="宋体"/>
                <w:kern w:val="0"/>
                <w:sz w:val="18"/>
                <w:szCs w:val="18"/>
                <w:highlight w:val="none"/>
              </w:rPr>
            </w:pPr>
            <w:r>
              <w:rPr>
                <w:rFonts w:hint="eastAsia" w:ascii="宋体" w:hAnsi="宋体" w:cs="宋体"/>
                <w:kern w:val="0"/>
                <w:sz w:val="18"/>
                <w:szCs w:val="18"/>
                <w:highlight w:val="none"/>
              </w:rPr>
              <w:t>批发业</w:t>
            </w:r>
          </w:p>
        </w:tc>
        <w:tc>
          <w:tcPr>
            <w:tcW w:w="1369" w:type="dxa"/>
            <w:tcBorders>
              <w:top w:val="nil"/>
              <w:left w:val="nil"/>
              <w:bottom w:val="nil"/>
              <w:right w:val="single" w:color="auto" w:sz="4" w:space="0"/>
            </w:tcBorders>
            <w:vAlign w:val="center"/>
          </w:tcPr>
          <w:p w14:paraId="6D27E96C">
            <w:pPr>
              <w:widowControl/>
              <w:jc w:val="center"/>
              <w:rPr>
                <w:rFonts w:ascii="宋体" w:hAnsi="宋体" w:cs="宋体"/>
                <w:kern w:val="0"/>
                <w:sz w:val="18"/>
                <w:szCs w:val="18"/>
                <w:highlight w:val="none"/>
              </w:rPr>
            </w:pPr>
            <w:r>
              <w:rPr>
                <w:rFonts w:hint="eastAsia" w:ascii="宋体" w:hAnsi="宋体" w:cs="宋体"/>
                <w:kern w:val="0"/>
                <w:sz w:val="18"/>
                <w:szCs w:val="18"/>
                <w:highlight w:val="none"/>
              </w:rPr>
              <w:t>从业人员(X)</w:t>
            </w:r>
          </w:p>
        </w:tc>
        <w:tc>
          <w:tcPr>
            <w:tcW w:w="709" w:type="dxa"/>
            <w:tcBorders>
              <w:top w:val="nil"/>
              <w:left w:val="nil"/>
              <w:bottom w:val="nil"/>
              <w:right w:val="single" w:color="auto" w:sz="4" w:space="0"/>
            </w:tcBorders>
            <w:vAlign w:val="center"/>
          </w:tcPr>
          <w:p w14:paraId="68FAC6DC">
            <w:pPr>
              <w:widowControl/>
              <w:jc w:val="center"/>
              <w:rPr>
                <w:rFonts w:ascii="宋体" w:hAnsi="宋体" w:cs="宋体"/>
                <w:kern w:val="0"/>
                <w:sz w:val="18"/>
                <w:szCs w:val="18"/>
                <w:highlight w:val="none"/>
              </w:rPr>
            </w:pPr>
            <w:r>
              <w:rPr>
                <w:rFonts w:hint="eastAsia" w:ascii="宋体" w:hAnsi="宋体" w:cs="宋体"/>
                <w:kern w:val="0"/>
                <w:sz w:val="18"/>
                <w:szCs w:val="18"/>
                <w:highlight w:val="none"/>
              </w:rPr>
              <w:t>人</w:t>
            </w:r>
          </w:p>
        </w:tc>
        <w:tc>
          <w:tcPr>
            <w:tcW w:w="1125" w:type="dxa"/>
            <w:tcBorders>
              <w:top w:val="nil"/>
              <w:left w:val="nil"/>
              <w:bottom w:val="nil"/>
              <w:right w:val="single" w:color="auto" w:sz="4" w:space="0"/>
            </w:tcBorders>
            <w:vAlign w:val="center"/>
          </w:tcPr>
          <w:p w14:paraId="292CC90D">
            <w:pPr>
              <w:widowControl/>
              <w:jc w:val="center"/>
              <w:rPr>
                <w:rFonts w:ascii="宋体" w:hAnsi="宋体" w:cs="宋体"/>
                <w:kern w:val="0"/>
                <w:sz w:val="18"/>
                <w:szCs w:val="18"/>
                <w:highlight w:val="none"/>
              </w:rPr>
            </w:pPr>
            <w:r>
              <w:rPr>
                <w:rFonts w:hint="eastAsia" w:ascii="宋体" w:hAnsi="宋体" w:cs="宋体"/>
                <w:kern w:val="0"/>
                <w:sz w:val="18"/>
                <w:szCs w:val="18"/>
                <w:highlight w:val="none"/>
              </w:rPr>
              <w:t>X≥200</w:t>
            </w:r>
          </w:p>
        </w:tc>
        <w:tc>
          <w:tcPr>
            <w:tcW w:w="1701" w:type="dxa"/>
            <w:tcBorders>
              <w:top w:val="nil"/>
              <w:left w:val="nil"/>
              <w:bottom w:val="nil"/>
              <w:right w:val="single" w:color="auto" w:sz="4" w:space="0"/>
            </w:tcBorders>
            <w:vAlign w:val="center"/>
          </w:tcPr>
          <w:p w14:paraId="12F57C7F">
            <w:pPr>
              <w:widowControl/>
              <w:jc w:val="center"/>
              <w:rPr>
                <w:rFonts w:ascii="宋体" w:hAnsi="宋体" w:cs="宋体"/>
                <w:kern w:val="0"/>
                <w:sz w:val="18"/>
                <w:szCs w:val="18"/>
                <w:highlight w:val="none"/>
              </w:rPr>
            </w:pPr>
            <w:r>
              <w:rPr>
                <w:rFonts w:hint="eastAsia" w:ascii="宋体" w:hAnsi="宋体" w:cs="宋体"/>
                <w:kern w:val="0"/>
                <w:sz w:val="18"/>
                <w:szCs w:val="18"/>
                <w:highlight w:val="none"/>
              </w:rPr>
              <w:t>20≤X＜200</w:t>
            </w:r>
          </w:p>
        </w:tc>
        <w:tc>
          <w:tcPr>
            <w:tcW w:w="1426" w:type="dxa"/>
            <w:tcBorders>
              <w:top w:val="nil"/>
              <w:left w:val="nil"/>
              <w:bottom w:val="nil"/>
              <w:right w:val="single" w:color="auto" w:sz="4" w:space="0"/>
            </w:tcBorders>
            <w:vAlign w:val="center"/>
          </w:tcPr>
          <w:p w14:paraId="1D3D6C7B">
            <w:pPr>
              <w:widowControl/>
              <w:jc w:val="center"/>
              <w:rPr>
                <w:rFonts w:ascii="宋体" w:hAnsi="宋体" w:cs="宋体"/>
                <w:kern w:val="0"/>
                <w:sz w:val="18"/>
                <w:szCs w:val="18"/>
                <w:highlight w:val="none"/>
              </w:rPr>
            </w:pPr>
            <w:r>
              <w:rPr>
                <w:rFonts w:hint="eastAsia" w:ascii="宋体" w:hAnsi="宋体" w:cs="宋体"/>
                <w:kern w:val="0"/>
                <w:sz w:val="18"/>
                <w:szCs w:val="18"/>
                <w:highlight w:val="none"/>
              </w:rPr>
              <w:t xml:space="preserve"> 5≤X＜20</w:t>
            </w:r>
          </w:p>
        </w:tc>
        <w:tc>
          <w:tcPr>
            <w:tcW w:w="992" w:type="dxa"/>
            <w:tcBorders>
              <w:top w:val="nil"/>
              <w:left w:val="nil"/>
              <w:bottom w:val="nil"/>
              <w:right w:val="nil"/>
            </w:tcBorders>
            <w:vAlign w:val="center"/>
          </w:tcPr>
          <w:p w14:paraId="383003E3">
            <w:pPr>
              <w:widowControl/>
              <w:jc w:val="center"/>
              <w:rPr>
                <w:rFonts w:ascii="宋体" w:hAnsi="宋体" w:cs="宋体"/>
                <w:kern w:val="0"/>
                <w:sz w:val="18"/>
                <w:szCs w:val="18"/>
                <w:highlight w:val="none"/>
              </w:rPr>
            </w:pPr>
            <w:r>
              <w:rPr>
                <w:rFonts w:hint="eastAsia" w:ascii="宋体" w:hAnsi="宋体" w:cs="宋体"/>
                <w:kern w:val="0"/>
                <w:sz w:val="18"/>
                <w:szCs w:val="18"/>
                <w:highlight w:val="none"/>
              </w:rPr>
              <w:t>X＜5</w:t>
            </w:r>
          </w:p>
        </w:tc>
      </w:tr>
      <w:tr w14:paraId="225C2395">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19066AD5">
            <w:pPr>
              <w:widowControl/>
              <w:jc w:val="left"/>
              <w:rPr>
                <w:rFonts w:ascii="宋体" w:hAnsi="宋体" w:cs="宋体"/>
                <w:kern w:val="0"/>
                <w:sz w:val="18"/>
                <w:szCs w:val="18"/>
                <w:highlight w:val="none"/>
              </w:rPr>
            </w:pPr>
          </w:p>
        </w:tc>
        <w:tc>
          <w:tcPr>
            <w:tcW w:w="1369" w:type="dxa"/>
            <w:tcBorders>
              <w:top w:val="nil"/>
              <w:left w:val="nil"/>
              <w:bottom w:val="single" w:color="auto" w:sz="4" w:space="0"/>
              <w:right w:val="single" w:color="auto" w:sz="4" w:space="0"/>
            </w:tcBorders>
            <w:vAlign w:val="center"/>
          </w:tcPr>
          <w:p w14:paraId="5B50FB7C">
            <w:pPr>
              <w:widowControl/>
              <w:spacing w:line="240" w:lineRule="exact"/>
              <w:jc w:val="center"/>
              <w:rPr>
                <w:rFonts w:ascii="宋体" w:hAnsi="宋体" w:cs="宋体"/>
                <w:kern w:val="0"/>
                <w:sz w:val="18"/>
                <w:szCs w:val="18"/>
                <w:highlight w:val="none"/>
              </w:rPr>
            </w:pPr>
            <w:r>
              <w:rPr>
                <w:rFonts w:hint="eastAsia" w:ascii="宋体" w:hAnsi="宋体" w:cs="宋体"/>
                <w:kern w:val="0"/>
                <w:sz w:val="18"/>
                <w:szCs w:val="18"/>
                <w:highlight w:val="none"/>
              </w:rPr>
              <w:t>营业收入(Y)</w:t>
            </w:r>
          </w:p>
        </w:tc>
        <w:tc>
          <w:tcPr>
            <w:tcW w:w="709" w:type="dxa"/>
            <w:tcBorders>
              <w:top w:val="nil"/>
              <w:left w:val="nil"/>
              <w:bottom w:val="single" w:color="auto" w:sz="4" w:space="0"/>
              <w:right w:val="single" w:color="auto" w:sz="4" w:space="0"/>
            </w:tcBorders>
            <w:vAlign w:val="center"/>
          </w:tcPr>
          <w:p w14:paraId="2E3D5D3E">
            <w:pPr>
              <w:widowControl/>
              <w:jc w:val="center"/>
              <w:rPr>
                <w:rFonts w:ascii="宋体" w:hAnsi="宋体" w:cs="宋体"/>
                <w:kern w:val="0"/>
                <w:sz w:val="18"/>
                <w:szCs w:val="18"/>
                <w:highlight w:val="none"/>
              </w:rPr>
            </w:pPr>
            <w:r>
              <w:rPr>
                <w:rFonts w:hint="eastAsia" w:ascii="宋体" w:hAnsi="宋体" w:cs="宋体"/>
                <w:kern w:val="0"/>
                <w:sz w:val="18"/>
                <w:szCs w:val="18"/>
                <w:highlight w:val="none"/>
              </w:rPr>
              <w:t>万元</w:t>
            </w:r>
          </w:p>
        </w:tc>
        <w:tc>
          <w:tcPr>
            <w:tcW w:w="1125" w:type="dxa"/>
            <w:tcBorders>
              <w:top w:val="nil"/>
              <w:left w:val="nil"/>
              <w:bottom w:val="single" w:color="auto" w:sz="4" w:space="0"/>
              <w:right w:val="single" w:color="auto" w:sz="4" w:space="0"/>
            </w:tcBorders>
            <w:vAlign w:val="center"/>
          </w:tcPr>
          <w:p w14:paraId="349ED40C">
            <w:pPr>
              <w:widowControl/>
              <w:jc w:val="center"/>
              <w:rPr>
                <w:rFonts w:ascii="宋体" w:hAnsi="宋体" w:cs="宋体"/>
                <w:kern w:val="0"/>
                <w:sz w:val="18"/>
                <w:szCs w:val="18"/>
                <w:highlight w:val="none"/>
              </w:rPr>
            </w:pPr>
            <w:r>
              <w:rPr>
                <w:rFonts w:hint="eastAsia" w:ascii="宋体" w:hAnsi="宋体" w:cs="宋体"/>
                <w:kern w:val="0"/>
                <w:sz w:val="18"/>
                <w:szCs w:val="18"/>
                <w:highlight w:val="none"/>
              </w:rPr>
              <w:t>Y≥40000</w:t>
            </w:r>
          </w:p>
        </w:tc>
        <w:tc>
          <w:tcPr>
            <w:tcW w:w="1701" w:type="dxa"/>
            <w:tcBorders>
              <w:top w:val="nil"/>
              <w:left w:val="nil"/>
              <w:bottom w:val="single" w:color="auto" w:sz="4" w:space="0"/>
              <w:right w:val="single" w:color="auto" w:sz="4" w:space="0"/>
            </w:tcBorders>
            <w:vAlign w:val="center"/>
          </w:tcPr>
          <w:p w14:paraId="50B6709C">
            <w:pPr>
              <w:widowControl/>
              <w:jc w:val="center"/>
              <w:rPr>
                <w:rFonts w:ascii="宋体" w:hAnsi="宋体" w:cs="宋体"/>
                <w:kern w:val="0"/>
                <w:sz w:val="18"/>
                <w:szCs w:val="18"/>
                <w:highlight w:val="none"/>
              </w:rPr>
            </w:pPr>
            <w:r>
              <w:rPr>
                <w:rFonts w:hint="eastAsia" w:ascii="宋体" w:hAnsi="宋体" w:cs="宋体"/>
                <w:kern w:val="0"/>
                <w:sz w:val="18"/>
                <w:szCs w:val="18"/>
                <w:highlight w:val="none"/>
              </w:rPr>
              <w:t>5000≤Y＜40000</w:t>
            </w:r>
          </w:p>
        </w:tc>
        <w:tc>
          <w:tcPr>
            <w:tcW w:w="1426" w:type="dxa"/>
            <w:tcBorders>
              <w:top w:val="nil"/>
              <w:left w:val="nil"/>
              <w:bottom w:val="single" w:color="auto" w:sz="4" w:space="0"/>
              <w:right w:val="single" w:color="auto" w:sz="4" w:space="0"/>
            </w:tcBorders>
            <w:vAlign w:val="center"/>
          </w:tcPr>
          <w:p w14:paraId="3691FADB">
            <w:pPr>
              <w:widowControl/>
              <w:ind w:left="-1" w:leftChars="-1" w:hanging="1"/>
              <w:jc w:val="center"/>
              <w:rPr>
                <w:rFonts w:ascii="宋体" w:hAnsi="宋体" w:cs="宋体"/>
                <w:kern w:val="0"/>
                <w:sz w:val="18"/>
                <w:szCs w:val="18"/>
                <w:highlight w:val="none"/>
              </w:rPr>
            </w:pPr>
            <w:r>
              <w:rPr>
                <w:rFonts w:hint="eastAsia" w:ascii="宋体" w:hAnsi="宋体" w:cs="宋体"/>
                <w:kern w:val="0"/>
                <w:sz w:val="18"/>
                <w:szCs w:val="18"/>
                <w:highlight w:val="none"/>
              </w:rPr>
              <w:t>1000≤Y＜5000</w:t>
            </w:r>
          </w:p>
        </w:tc>
        <w:tc>
          <w:tcPr>
            <w:tcW w:w="992" w:type="dxa"/>
            <w:tcBorders>
              <w:top w:val="nil"/>
              <w:left w:val="nil"/>
              <w:bottom w:val="single" w:color="auto" w:sz="4" w:space="0"/>
              <w:right w:val="nil"/>
            </w:tcBorders>
            <w:vAlign w:val="center"/>
          </w:tcPr>
          <w:p w14:paraId="15D0F6AB">
            <w:pPr>
              <w:widowControl/>
              <w:jc w:val="center"/>
              <w:rPr>
                <w:rFonts w:ascii="宋体" w:hAnsi="宋体" w:cs="宋体"/>
                <w:kern w:val="0"/>
                <w:sz w:val="18"/>
                <w:szCs w:val="18"/>
                <w:highlight w:val="none"/>
              </w:rPr>
            </w:pPr>
            <w:r>
              <w:rPr>
                <w:rFonts w:hint="eastAsia" w:ascii="宋体" w:hAnsi="宋体" w:cs="宋体"/>
                <w:kern w:val="0"/>
                <w:sz w:val="18"/>
                <w:szCs w:val="18"/>
                <w:highlight w:val="none"/>
              </w:rPr>
              <w:t>Y＜1000</w:t>
            </w:r>
          </w:p>
        </w:tc>
      </w:tr>
      <w:tr w14:paraId="4B552359">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vAlign w:val="center"/>
          </w:tcPr>
          <w:p w14:paraId="110462DF">
            <w:pPr>
              <w:widowControl/>
              <w:spacing w:line="240" w:lineRule="exact"/>
              <w:jc w:val="left"/>
              <w:rPr>
                <w:rFonts w:ascii="宋体" w:hAnsi="宋体" w:cs="宋体"/>
                <w:kern w:val="0"/>
                <w:sz w:val="18"/>
                <w:szCs w:val="18"/>
                <w:highlight w:val="none"/>
              </w:rPr>
            </w:pPr>
            <w:r>
              <w:rPr>
                <w:rFonts w:hint="eastAsia" w:ascii="宋体" w:hAnsi="宋体" w:cs="宋体"/>
                <w:kern w:val="0"/>
                <w:sz w:val="18"/>
                <w:szCs w:val="18"/>
                <w:highlight w:val="none"/>
              </w:rPr>
              <w:t>零售业</w:t>
            </w:r>
          </w:p>
        </w:tc>
        <w:tc>
          <w:tcPr>
            <w:tcW w:w="1369" w:type="dxa"/>
            <w:tcBorders>
              <w:top w:val="nil"/>
              <w:left w:val="nil"/>
              <w:bottom w:val="nil"/>
              <w:right w:val="single" w:color="auto" w:sz="4" w:space="0"/>
            </w:tcBorders>
            <w:vAlign w:val="center"/>
          </w:tcPr>
          <w:p w14:paraId="05797525">
            <w:pPr>
              <w:widowControl/>
              <w:jc w:val="center"/>
              <w:rPr>
                <w:rFonts w:ascii="宋体" w:hAnsi="宋体" w:cs="宋体"/>
                <w:kern w:val="0"/>
                <w:sz w:val="18"/>
                <w:szCs w:val="18"/>
                <w:highlight w:val="none"/>
              </w:rPr>
            </w:pPr>
            <w:r>
              <w:rPr>
                <w:rFonts w:hint="eastAsia" w:ascii="宋体" w:hAnsi="宋体" w:cs="宋体"/>
                <w:kern w:val="0"/>
                <w:sz w:val="18"/>
                <w:szCs w:val="18"/>
                <w:highlight w:val="none"/>
              </w:rPr>
              <w:t>从业人员(X)</w:t>
            </w:r>
          </w:p>
        </w:tc>
        <w:tc>
          <w:tcPr>
            <w:tcW w:w="709" w:type="dxa"/>
            <w:tcBorders>
              <w:top w:val="nil"/>
              <w:left w:val="nil"/>
              <w:bottom w:val="nil"/>
              <w:right w:val="single" w:color="auto" w:sz="4" w:space="0"/>
            </w:tcBorders>
            <w:vAlign w:val="center"/>
          </w:tcPr>
          <w:p w14:paraId="4EE753E7">
            <w:pPr>
              <w:widowControl/>
              <w:jc w:val="center"/>
              <w:rPr>
                <w:rFonts w:ascii="宋体" w:hAnsi="宋体" w:cs="宋体"/>
                <w:kern w:val="0"/>
                <w:sz w:val="18"/>
                <w:szCs w:val="18"/>
                <w:highlight w:val="none"/>
              </w:rPr>
            </w:pPr>
            <w:r>
              <w:rPr>
                <w:rFonts w:hint="eastAsia" w:ascii="宋体" w:hAnsi="宋体" w:cs="宋体"/>
                <w:kern w:val="0"/>
                <w:sz w:val="18"/>
                <w:szCs w:val="18"/>
                <w:highlight w:val="none"/>
              </w:rPr>
              <w:t>人</w:t>
            </w:r>
          </w:p>
        </w:tc>
        <w:tc>
          <w:tcPr>
            <w:tcW w:w="1125" w:type="dxa"/>
            <w:tcBorders>
              <w:top w:val="nil"/>
              <w:left w:val="nil"/>
              <w:bottom w:val="nil"/>
              <w:right w:val="single" w:color="auto" w:sz="4" w:space="0"/>
            </w:tcBorders>
            <w:vAlign w:val="center"/>
          </w:tcPr>
          <w:p w14:paraId="2D7A439D">
            <w:pPr>
              <w:widowControl/>
              <w:jc w:val="center"/>
              <w:rPr>
                <w:rFonts w:ascii="宋体" w:hAnsi="宋体" w:cs="宋体"/>
                <w:kern w:val="0"/>
                <w:sz w:val="18"/>
                <w:szCs w:val="18"/>
                <w:highlight w:val="none"/>
              </w:rPr>
            </w:pPr>
            <w:r>
              <w:rPr>
                <w:rFonts w:hint="eastAsia" w:ascii="宋体" w:hAnsi="宋体" w:cs="宋体"/>
                <w:kern w:val="0"/>
                <w:sz w:val="18"/>
                <w:szCs w:val="18"/>
                <w:highlight w:val="none"/>
              </w:rPr>
              <w:t>X≥300</w:t>
            </w:r>
          </w:p>
        </w:tc>
        <w:tc>
          <w:tcPr>
            <w:tcW w:w="1701" w:type="dxa"/>
            <w:tcBorders>
              <w:top w:val="nil"/>
              <w:left w:val="nil"/>
              <w:bottom w:val="nil"/>
              <w:right w:val="single" w:color="auto" w:sz="4" w:space="0"/>
            </w:tcBorders>
            <w:vAlign w:val="center"/>
          </w:tcPr>
          <w:p w14:paraId="122A9B49">
            <w:pPr>
              <w:widowControl/>
              <w:jc w:val="center"/>
              <w:rPr>
                <w:rFonts w:ascii="宋体" w:hAnsi="宋体" w:cs="宋体"/>
                <w:kern w:val="0"/>
                <w:sz w:val="18"/>
                <w:szCs w:val="18"/>
                <w:highlight w:val="none"/>
              </w:rPr>
            </w:pPr>
            <w:r>
              <w:rPr>
                <w:rFonts w:hint="eastAsia" w:ascii="宋体" w:hAnsi="宋体" w:cs="宋体"/>
                <w:kern w:val="0"/>
                <w:sz w:val="18"/>
                <w:szCs w:val="18"/>
                <w:highlight w:val="none"/>
              </w:rPr>
              <w:t>50≤X＜300</w:t>
            </w:r>
          </w:p>
        </w:tc>
        <w:tc>
          <w:tcPr>
            <w:tcW w:w="1426" w:type="dxa"/>
            <w:tcBorders>
              <w:top w:val="nil"/>
              <w:left w:val="nil"/>
              <w:bottom w:val="nil"/>
              <w:right w:val="single" w:color="auto" w:sz="4" w:space="0"/>
            </w:tcBorders>
            <w:vAlign w:val="center"/>
          </w:tcPr>
          <w:p w14:paraId="27CE1368">
            <w:pPr>
              <w:widowControl/>
              <w:ind w:left="-1" w:leftChars="-1" w:hanging="1"/>
              <w:jc w:val="center"/>
              <w:rPr>
                <w:rFonts w:ascii="宋体" w:hAnsi="宋体" w:cs="宋体"/>
                <w:kern w:val="0"/>
                <w:sz w:val="18"/>
                <w:szCs w:val="18"/>
                <w:highlight w:val="none"/>
              </w:rPr>
            </w:pPr>
            <w:r>
              <w:rPr>
                <w:rFonts w:hint="eastAsia" w:ascii="宋体" w:hAnsi="宋体" w:cs="宋体"/>
                <w:kern w:val="0"/>
                <w:sz w:val="18"/>
                <w:szCs w:val="18"/>
                <w:highlight w:val="none"/>
              </w:rPr>
              <w:t xml:space="preserve">10≤X＜50 </w:t>
            </w:r>
          </w:p>
        </w:tc>
        <w:tc>
          <w:tcPr>
            <w:tcW w:w="992" w:type="dxa"/>
            <w:tcBorders>
              <w:top w:val="nil"/>
              <w:left w:val="nil"/>
              <w:bottom w:val="nil"/>
              <w:right w:val="nil"/>
            </w:tcBorders>
            <w:vAlign w:val="center"/>
          </w:tcPr>
          <w:p w14:paraId="165C8FA7">
            <w:pPr>
              <w:widowControl/>
              <w:jc w:val="center"/>
              <w:rPr>
                <w:rFonts w:ascii="宋体" w:hAnsi="宋体" w:cs="宋体"/>
                <w:kern w:val="0"/>
                <w:sz w:val="18"/>
                <w:szCs w:val="18"/>
                <w:highlight w:val="none"/>
              </w:rPr>
            </w:pPr>
            <w:r>
              <w:rPr>
                <w:rFonts w:hint="eastAsia" w:ascii="宋体" w:hAnsi="宋体" w:cs="宋体"/>
                <w:kern w:val="0"/>
                <w:sz w:val="18"/>
                <w:szCs w:val="18"/>
                <w:highlight w:val="none"/>
              </w:rPr>
              <w:t>X＜10</w:t>
            </w:r>
          </w:p>
        </w:tc>
      </w:tr>
      <w:tr w14:paraId="5E718640">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5DE422EE">
            <w:pPr>
              <w:widowControl/>
              <w:jc w:val="left"/>
              <w:rPr>
                <w:rFonts w:ascii="宋体" w:hAnsi="宋体" w:cs="宋体"/>
                <w:kern w:val="0"/>
                <w:sz w:val="18"/>
                <w:szCs w:val="18"/>
                <w:highlight w:val="none"/>
              </w:rPr>
            </w:pPr>
          </w:p>
        </w:tc>
        <w:tc>
          <w:tcPr>
            <w:tcW w:w="1369" w:type="dxa"/>
            <w:tcBorders>
              <w:top w:val="nil"/>
              <w:left w:val="nil"/>
              <w:bottom w:val="single" w:color="auto" w:sz="4" w:space="0"/>
              <w:right w:val="single" w:color="auto" w:sz="4" w:space="0"/>
            </w:tcBorders>
            <w:vAlign w:val="center"/>
          </w:tcPr>
          <w:p w14:paraId="3BD91763">
            <w:pPr>
              <w:widowControl/>
              <w:spacing w:line="240" w:lineRule="exact"/>
              <w:jc w:val="center"/>
              <w:rPr>
                <w:rFonts w:ascii="宋体" w:hAnsi="宋体" w:cs="宋体"/>
                <w:kern w:val="0"/>
                <w:sz w:val="18"/>
                <w:szCs w:val="18"/>
                <w:highlight w:val="none"/>
              </w:rPr>
            </w:pPr>
            <w:r>
              <w:rPr>
                <w:rFonts w:hint="eastAsia" w:ascii="宋体" w:hAnsi="宋体" w:cs="宋体"/>
                <w:kern w:val="0"/>
                <w:sz w:val="18"/>
                <w:szCs w:val="18"/>
                <w:highlight w:val="none"/>
              </w:rPr>
              <w:t>营业收入(Y)</w:t>
            </w:r>
          </w:p>
        </w:tc>
        <w:tc>
          <w:tcPr>
            <w:tcW w:w="709" w:type="dxa"/>
            <w:tcBorders>
              <w:top w:val="nil"/>
              <w:left w:val="nil"/>
              <w:bottom w:val="single" w:color="auto" w:sz="4" w:space="0"/>
              <w:right w:val="single" w:color="auto" w:sz="4" w:space="0"/>
            </w:tcBorders>
            <w:vAlign w:val="center"/>
          </w:tcPr>
          <w:p w14:paraId="10D75581">
            <w:pPr>
              <w:widowControl/>
              <w:jc w:val="center"/>
              <w:rPr>
                <w:rFonts w:ascii="宋体" w:hAnsi="宋体" w:cs="宋体"/>
                <w:kern w:val="0"/>
                <w:sz w:val="18"/>
                <w:szCs w:val="18"/>
                <w:highlight w:val="none"/>
              </w:rPr>
            </w:pPr>
            <w:r>
              <w:rPr>
                <w:rFonts w:hint="eastAsia" w:ascii="宋体" w:hAnsi="宋体" w:cs="宋体"/>
                <w:kern w:val="0"/>
                <w:sz w:val="18"/>
                <w:szCs w:val="18"/>
                <w:highlight w:val="none"/>
              </w:rPr>
              <w:t>万元</w:t>
            </w:r>
          </w:p>
        </w:tc>
        <w:tc>
          <w:tcPr>
            <w:tcW w:w="1125" w:type="dxa"/>
            <w:tcBorders>
              <w:top w:val="nil"/>
              <w:left w:val="nil"/>
              <w:bottom w:val="single" w:color="auto" w:sz="4" w:space="0"/>
              <w:right w:val="single" w:color="auto" w:sz="4" w:space="0"/>
            </w:tcBorders>
            <w:vAlign w:val="center"/>
          </w:tcPr>
          <w:p w14:paraId="4C5699B3">
            <w:pPr>
              <w:widowControl/>
              <w:jc w:val="center"/>
              <w:rPr>
                <w:rFonts w:ascii="宋体" w:hAnsi="宋体" w:cs="宋体"/>
                <w:kern w:val="0"/>
                <w:sz w:val="18"/>
                <w:szCs w:val="18"/>
                <w:highlight w:val="none"/>
              </w:rPr>
            </w:pPr>
            <w:r>
              <w:rPr>
                <w:rFonts w:hint="eastAsia" w:ascii="宋体" w:hAnsi="宋体" w:cs="宋体"/>
                <w:kern w:val="0"/>
                <w:sz w:val="18"/>
                <w:szCs w:val="18"/>
                <w:highlight w:val="none"/>
              </w:rPr>
              <w:t>Y≥20000</w:t>
            </w:r>
          </w:p>
        </w:tc>
        <w:tc>
          <w:tcPr>
            <w:tcW w:w="1701" w:type="dxa"/>
            <w:tcBorders>
              <w:top w:val="nil"/>
              <w:left w:val="nil"/>
              <w:bottom w:val="single" w:color="auto" w:sz="4" w:space="0"/>
              <w:right w:val="single" w:color="auto" w:sz="4" w:space="0"/>
            </w:tcBorders>
            <w:vAlign w:val="center"/>
          </w:tcPr>
          <w:p w14:paraId="3B3865D0">
            <w:pPr>
              <w:widowControl/>
              <w:jc w:val="center"/>
              <w:rPr>
                <w:rFonts w:ascii="宋体" w:hAnsi="宋体" w:cs="宋体"/>
                <w:kern w:val="0"/>
                <w:sz w:val="18"/>
                <w:szCs w:val="18"/>
                <w:highlight w:val="none"/>
              </w:rPr>
            </w:pPr>
            <w:r>
              <w:rPr>
                <w:rFonts w:hint="eastAsia" w:ascii="宋体" w:hAnsi="宋体" w:cs="宋体"/>
                <w:kern w:val="0"/>
                <w:sz w:val="18"/>
                <w:szCs w:val="18"/>
                <w:highlight w:val="none"/>
              </w:rPr>
              <w:t xml:space="preserve"> 500≤Y＜20000</w:t>
            </w:r>
          </w:p>
        </w:tc>
        <w:tc>
          <w:tcPr>
            <w:tcW w:w="1426" w:type="dxa"/>
            <w:tcBorders>
              <w:top w:val="nil"/>
              <w:left w:val="nil"/>
              <w:bottom w:val="single" w:color="auto" w:sz="4" w:space="0"/>
              <w:right w:val="single" w:color="auto" w:sz="4" w:space="0"/>
            </w:tcBorders>
            <w:vAlign w:val="center"/>
          </w:tcPr>
          <w:p w14:paraId="5CABD085">
            <w:pPr>
              <w:widowControl/>
              <w:ind w:left="-1" w:leftChars="-1" w:hanging="1"/>
              <w:jc w:val="center"/>
              <w:rPr>
                <w:rFonts w:ascii="宋体" w:hAnsi="宋体" w:cs="宋体"/>
                <w:kern w:val="0"/>
                <w:sz w:val="18"/>
                <w:szCs w:val="18"/>
                <w:highlight w:val="none"/>
              </w:rPr>
            </w:pPr>
            <w:r>
              <w:rPr>
                <w:rFonts w:hint="eastAsia" w:ascii="宋体" w:hAnsi="宋体" w:cs="宋体"/>
                <w:kern w:val="0"/>
                <w:sz w:val="18"/>
                <w:szCs w:val="18"/>
                <w:highlight w:val="none"/>
              </w:rPr>
              <w:t xml:space="preserve">100≤Y＜500 </w:t>
            </w:r>
          </w:p>
        </w:tc>
        <w:tc>
          <w:tcPr>
            <w:tcW w:w="992" w:type="dxa"/>
            <w:tcBorders>
              <w:top w:val="nil"/>
              <w:left w:val="nil"/>
              <w:bottom w:val="single" w:color="auto" w:sz="4" w:space="0"/>
              <w:right w:val="nil"/>
            </w:tcBorders>
            <w:vAlign w:val="center"/>
          </w:tcPr>
          <w:p w14:paraId="1348B57C">
            <w:pPr>
              <w:widowControl/>
              <w:jc w:val="center"/>
              <w:rPr>
                <w:rFonts w:ascii="宋体" w:hAnsi="宋体" w:cs="宋体"/>
                <w:kern w:val="0"/>
                <w:sz w:val="18"/>
                <w:szCs w:val="18"/>
                <w:highlight w:val="none"/>
              </w:rPr>
            </w:pPr>
            <w:r>
              <w:rPr>
                <w:rFonts w:hint="eastAsia" w:ascii="宋体" w:hAnsi="宋体" w:cs="宋体"/>
                <w:kern w:val="0"/>
                <w:sz w:val="18"/>
                <w:szCs w:val="18"/>
                <w:highlight w:val="none"/>
              </w:rPr>
              <w:t>Y＜100</w:t>
            </w:r>
          </w:p>
        </w:tc>
      </w:tr>
      <w:tr w14:paraId="25BEC3E4">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vAlign w:val="center"/>
          </w:tcPr>
          <w:p w14:paraId="0141F4D4">
            <w:pPr>
              <w:widowControl/>
              <w:spacing w:line="240" w:lineRule="exact"/>
              <w:jc w:val="left"/>
              <w:rPr>
                <w:rFonts w:ascii="宋体" w:hAnsi="宋体" w:cs="宋体"/>
                <w:kern w:val="0"/>
                <w:sz w:val="18"/>
                <w:szCs w:val="18"/>
                <w:highlight w:val="none"/>
              </w:rPr>
            </w:pPr>
            <w:r>
              <w:rPr>
                <w:rFonts w:hint="eastAsia" w:ascii="宋体" w:hAnsi="宋体" w:cs="宋体"/>
                <w:kern w:val="0"/>
                <w:sz w:val="18"/>
                <w:szCs w:val="18"/>
                <w:highlight w:val="none"/>
              </w:rPr>
              <w:t>交通运输业 *</w:t>
            </w:r>
          </w:p>
        </w:tc>
        <w:tc>
          <w:tcPr>
            <w:tcW w:w="1369" w:type="dxa"/>
            <w:tcBorders>
              <w:top w:val="nil"/>
              <w:left w:val="nil"/>
              <w:bottom w:val="nil"/>
              <w:right w:val="single" w:color="auto" w:sz="4" w:space="0"/>
            </w:tcBorders>
            <w:vAlign w:val="center"/>
          </w:tcPr>
          <w:p w14:paraId="7BA39E15">
            <w:pPr>
              <w:widowControl/>
              <w:jc w:val="center"/>
              <w:rPr>
                <w:rFonts w:ascii="宋体" w:hAnsi="宋体" w:cs="宋体"/>
                <w:kern w:val="0"/>
                <w:sz w:val="18"/>
                <w:szCs w:val="18"/>
                <w:highlight w:val="none"/>
              </w:rPr>
            </w:pPr>
            <w:r>
              <w:rPr>
                <w:rFonts w:hint="eastAsia" w:ascii="宋体" w:hAnsi="宋体" w:cs="宋体"/>
                <w:kern w:val="0"/>
                <w:sz w:val="18"/>
                <w:szCs w:val="18"/>
                <w:highlight w:val="none"/>
              </w:rPr>
              <w:t>从业人员(X)</w:t>
            </w:r>
          </w:p>
        </w:tc>
        <w:tc>
          <w:tcPr>
            <w:tcW w:w="709" w:type="dxa"/>
            <w:tcBorders>
              <w:top w:val="nil"/>
              <w:left w:val="nil"/>
              <w:bottom w:val="nil"/>
              <w:right w:val="single" w:color="auto" w:sz="4" w:space="0"/>
            </w:tcBorders>
            <w:vAlign w:val="center"/>
          </w:tcPr>
          <w:p w14:paraId="6397491A">
            <w:pPr>
              <w:widowControl/>
              <w:jc w:val="center"/>
              <w:rPr>
                <w:rFonts w:ascii="宋体" w:hAnsi="宋体" w:cs="宋体"/>
                <w:kern w:val="0"/>
                <w:sz w:val="18"/>
                <w:szCs w:val="18"/>
                <w:highlight w:val="none"/>
              </w:rPr>
            </w:pPr>
            <w:r>
              <w:rPr>
                <w:rFonts w:hint="eastAsia" w:ascii="宋体" w:hAnsi="宋体" w:cs="宋体"/>
                <w:kern w:val="0"/>
                <w:sz w:val="18"/>
                <w:szCs w:val="18"/>
                <w:highlight w:val="none"/>
              </w:rPr>
              <w:t>人</w:t>
            </w:r>
          </w:p>
        </w:tc>
        <w:tc>
          <w:tcPr>
            <w:tcW w:w="1125" w:type="dxa"/>
            <w:tcBorders>
              <w:top w:val="nil"/>
              <w:left w:val="nil"/>
              <w:bottom w:val="nil"/>
              <w:right w:val="single" w:color="auto" w:sz="4" w:space="0"/>
            </w:tcBorders>
            <w:vAlign w:val="center"/>
          </w:tcPr>
          <w:p w14:paraId="507A28BF">
            <w:pPr>
              <w:widowControl/>
              <w:jc w:val="center"/>
              <w:rPr>
                <w:rFonts w:ascii="宋体" w:hAnsi="宋体" w:cs="宋体"/>
                <w:kern w:val="0"/>
                <w:sz w:val="18"/>
                <w:szCs w:val="18"/>
                <w:highlight w:val="none"/>
              </w:rPr>
            </w:pPr>
            <w:r>
              <w:rPr>
                <w:rFonts w:hint="eastAsia" w:ascii="宋体" w:hAnsi="宋体" w:cs="宋体"/>
                <w:kern w:val="0"/>
                <w:sz w:val="18"/>
                <w:szCs w:val="18"/>
                <w:highlight w:val="none"/>
              </w:rPr>
              <w:t>X≥1000</w:t>
            </w:r>
          </w:p>
        </w:tc>
        <w:tc>
          <w:tcPr>
            <w:tcW w:w="1701" w:type="dxa"/>
            <w:tcBorders>
              <w:top w:val="nil"/>
              <w:left w:val="nil"/>
              <w:bottom w:val="nil"/>
              <w:right w:val="single" w:color="auto" w:sz="4" w:space="0"/>
            </w:tcBorders>
            <w:vAlign w:val="center"/>
          </w:tcPr>
          <w:p w14:paraId="67A3233E">
            <w:pPr>
              <w:widowControl/>
              <w:jc w:val="center"/>
              <w:rPr>
                <w:rFonts w:ascii="宋体" w:hAnsi="宋体" w:cs="宋体"/>
                <w:kern w:val="0"/>
                <w:sz w:val="18"/>
                <w:szCs w:val="18"/>
                <w:highlight w:val="none"/>
              </w:rPr>
            </w:pPr>
            <w:r>
              <w:rPr>
                <w:rFonts w:hint="eastAsia" w:ascii="宋体" w:hAnsi="宋体" w:cs="宋体"/>
                <w:kern w:val="0"/>
                <w:sz w:val="18"/>
                <w:szCs w:val="18"/>
                <w:highlight w:val="none"/>
              </w:rPr>
              <w:t>300≤X＜1000</w:t>
            </w:r>
          </w:p>
        </w:tc>
        <w:tc>
          <w:tcPr>
            <w:tcW w:w="1426" w:type="dxa"/>
            <w:tcBorders>
              <w:top w:val="nil"/>
              <w:left w:val="nil"/>
              <w:bottom w:val="nil"/>
              <w:right w:val="single" w:color="auto" w:sz="4" w:space="0"/>
            </w:tcBorders>
            <w:vAlign w:val="center"/>
          </w:tcPr>
          <w:p w14:paraId="51E605E8">
            <w:pPr>
              <w:widowControl/>
              <w:jc w:val="center"/>
              <w:rPr>
                <w:rFonts w:ascii="宋体" w:hAnsi="宋体" w:cs="宋体"/>
                <w:kern w:val="0"/>
                <w:sz w:val="18"/>
                <w:szCs w:val="18"/>
                <w:highlight w:val="none"/>
              </w:rPr>
            </w:pPr>
            <w:r>
              <w:rPr>
                <w:rFonts w:hint="eastAsia" w:ascii="宋体" w:hAnsi="宋体" w:cs="宋体"/>
                <w:kern w:val="0"/>
                <w:sz w:val="18"/>
                <w:szCs w:val="18"/>
                <w:highlight w:val="none"/>
              </w:rPr>
              <w:t xml:space="preserve"> 20≤X＜300</w:t>
            </w:r>
          </w:p>
        </w:tc>
        <w:tc>
          <w:tcPr>
            <w:tcW w:w="992" w:type="dxa"/>
            <w:tcBorders>
              <w:top w:val="nil"/>
              <w:left w:val="nil"/>
              <w:bottom w:val="nil"/>
              <w:right w:val="nil"/>
            </w:tcBorders>
            <w:vAlign w:val="center"/>
          </w:tcPr>
          <w:p w14:paraId="7661BFCF">
            <w:pPr>
              <w:widowControl/>
              <w:jc w:val="center"/>
              <w:rPr>
                <w:rFonts w:ascii="宋体" w:hAnsi="宋体" w:cs="宋体"/>
                <w:kern w:val="0"/>
                <w:sz w:val="18"/>
                <w:szCs w:val="18"/>
                <w:highlight w:val="none"/>
              </w:rPr>
            </w:pPr>
            <w:r>
              <w:rPr>
                <w:rFonts w:hint="eastAsia" w:ascii="宋体" w:hAnsi="宋体" w:cs="宋体"/>
                <w:kern w:val="0"/>
                <w:sz w:val="18"/>
                <w:szCs w:val="18"/>
                <w:highlight w:val="none"/>
              </w:rPr>
              <w:t>X＜20</w:t>
            </w:r>
          </w:p>
        </w:tc>
      </w:tr>
      <w:tr w14:paraId="576F77E5">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6217154F">
            <w:pPr>
              <w:widowControl/>
              <w:jc w:val="left"/>
              <w:rPr>
                <w:rFonts w:ascii="宋体" w:hAnsi="宋体" w:cs="宋体"/>
                <w:kern w:val="0"/>
                <w:sz w:val="18"/>
                <w:szCs w:val="18"/>
                <w:highlight w:val="none"/>
              </w:rPr>
            </w:pPr>
          </w:p>
        </w:tc>
        <w:tc>
          <w:tcPr>
            <w:tcW w:w="1369" w:type="dxa"/>
            <w:tcBorders>
              <w:top w:val="nil"/>
              <w:left w:val="nil"/>
              <w:bottom w:val="single" w:color="auto" w:sz="4" w:space="0"/>
              <w:right w:val="single" w:color="auto" w:sz="4" w:space="0"/>
            </w:tcBorders>
            <w:vAlign w:val="center"/>
          </w:tcPr>
          <w:p w14:paraId="2B55FF97">
            <w:pPr>
              <w:widowControl/>
              <w:spacing w:line="240" w:lineRule="exact"/>
              <w:jc w:val="center"/>
              <w:rPr>
                <w:rFonts w:ascii="宋体" w:hAnsi="宋体" w:cs="宋体"/>
                <w:kern w:val="0"/>
                <w:sz w:val="18"/>
                <w:szCs w:val="18"/>
                <w:highlight w:val="none"/>
              </w:rPr>
            </w:pPr>
            <w:r>
              <w:rPr>
                <w:rFonts w:hint="eastAsia" w:ascii="宋体" w:hAnsi="宋体" w:cs="宋体"/>
                <w:kern w:val="0"/>
                <w:sz w:val="18"/>
                <w:szCs w:val="18"/>
                <w:highlight w:val="none"/>
              </w:rPr>
              <w:t>营业收入(Y)</w:t>
            </w:r>
          </w:p>
        </w:tc>
        <w:tc>
          <w:tcPr>
            <w:tcW w:w="709" w:type="dxa"/>
            <w:tcBorders>
              <w:top w:val="nil"/>
              <w:left w:val="nil"/>
              <w:bottom w:val="single" w:color="auto" w:sz="4" w:space="0"/>
              <w:right w:val="single" w:color="auto" w:sz="4" w:space="0"/>
            </w:tcBorders>
            <w:vAlign w:val="center"/>
          </w:tcPr>
          <w:p w14:paraId="4FA780DF">
            <w:pPr>
              <w:widowControl/>
              <w:jc w:val="center"/>
              <w:rPr>
                <w:rFonts w:ascii="宋体" w:hAnsi="宋体" w:cs="宋体"/>
                <w:kern w:val="0"/>
                <w:sz w:val="18"/>
                <w:szCs w:val="18"/>
                <w:highlight w:val="none"/>
              </w:rPr>
            </w:pPr>
            <w:r>
              <w:rPr>
                <w:rFonts w:hint="eastAsia" w:ascii="宋体" w:hAnsi="宋体" w:cs="宋体"/>
                <w:kern w:val="0"/>
                <w:sz w:val="18"/>
                <w:szCs w:val="18"/>
                <w:highlight w:val="none"/>
              </w:rPr>
              <w:t>万元</w:t>
            </w:r>
          </w:p>
        </w:tc>
        <w:tc>
          <w:tcPr>
            <w:tcW w:w="1125" w:type="dxa"/>
            <w:tcBorders>
              <w:top w:val="nil"/>
              <w:left w:val="nil"/>
              <w:bottom w:val="single" w:color="auto" w:sz="4" w:space="0"/>
              <w:right w:val="single" w:color="auto" w:sz="4" w:space="0"/>
            </w:tcBorders>
            <w:vAlign w:val="center"/>
          </w:tcPr>
          <w:p w14:paraId="6D44F24A">
            <w:pPr>
              <w:widowControl/>
              <w:jc w:val="center"/>
              <w:rPr>
                <w:rFonts w:ascii="宋体" w:hAnsi="宋体" w:cs="宋体"/>
                <w:kern w:val="0"/>
                <w:sz w:val="18"/>
                <w:szCs w:val="18"/>
                <w:highlight w:val="none"/>
              </w:rPr>
            </w:pPr>
            <w:r>
              <w:rPr>
                <w:rFonts w:hint="eastAsia" w:ascii="宋体" w:hAnsi="宋体" w:cs="宋体"/>
                <w:kern w:val="0"/>
                <w:sz w:val="18"/>
                <w:szCs w:val="18"/>
                <w:highlight w:val="none"/>
              </w:rPr>
              <w:t>Y≥30000</w:t>
            </w:r>
          </w:p>
        </w:tc>
        <w:tc>
          <w:tcPr>
            <w:tcW w:w="1701" w:type="dxa"/>
            <w:tcBorders>
              <w:top w:val="nil"/>
              <w:left w:val="nil"/>
              <w:bottom w:val="single" w:color="auto" w:sz="4" w:space="0"/>
              <w:right w:val="single" w:color="auto" w:sz="4" w:space="0"/>
            </w:tcBorders>
            <w:vAlign w:val="center"/>
          </w:tcPr>
          <w:p w14:paraId="5D4BF08E">
            <w:pPr>
              <w:widowControl/>
              <w:jc w:val="center"/>
              <w:rPr>
                <w:rFonts w:ascii="宋体" w:hAnsi="宋体" w:cs="宋体"/>
                <w:kern w:val="0"/>
                <w:sz w:val="18"/>
                <w:szCs w:val="18"/>
                <w:highlight w:val="none"/>
              </w:rPr>
            </w:pPr>
            <w:r>
              <w:rPr>
                <w:rFonts w:hint="eastAsia" w:ascii="宋体" w:hAnsi="宋体" w:cs="宋体"/>
                <w:kern w:val="0"/>
                <w:sz w:val="18"/>
                <w:szCs w:val="18"/>
                <w:highlight w:val="none"/>
              </w:rPr>
              <w:t>3000≤Y＜30000</w:t>
            </w:r>
          </w:p>
        </w:tc>
        <w:tc>
          <w:tcPr>
            <w:tcW w:w="1426" w:type="dxa"/>
            <w:tcBorders>
              <w:top w:val="nil"/>
              <w:left w:val="nil"/>
              <w:bottom w:val="single" w:color="auto" w:sz="4" w:space="0"/>
              <w:right w:val="single" w:color="auto" w:sz="4" w:space="0"/>
            </w:tcBorders>
            <w:vAlign w:val="center"/>
          </w:tcPr>
          <w:p w14:paraId="6F02A8BC">
            <w:pPr>
              <w:widowControl/>
              <w:jc w:val="center"/>
              <w:rPr>
                <w:rFonts w:ascii="宋体" w:hAnsi="宋体" w:cs="宋体"/>
                <w:kern w:val="0"/>
                <w:sz w:val="18"/>
                <w:szCs w:val="18"/>
                <w:highlight w:val="none"/>
              </w:rPr>
            </w:pPr>
            <w:r>
              <w:rPr>
                <w:rFonts w:hint="eastAsia" w:ascii="宋体" w:hAnsi="宋体" w:cs="宋体"/>
                <w:kern w:val="0"/>
                <w:sz w:val="18"/>
                <w:szCs w:val="18"/>
                <w:highlight w:val="none"/>
              </w:rPr>
              <w:t xml:space="preserve"> 200≤Y＜3000</w:t>
            </w:r>
          </w:p>
        </w:tc>
        <w:tc>
          <w:tcPr>
            <w:tcW w:w="992" w:type="dxa"/>
            <w:tcBorders>
              <w:top w:val="nil"/>
              <w:left w:val="nil"/>
              <w:bottom w:val="single" w:color="auto" w:sz="4" w:space="0"/>
              <w:right w:val="nil"/>
            </w:tcBorders>
            <w:vAlign w:val="center"/>
          </w:tcPr>
          <w:p w14:paraId="4D84FDDA">
            <w:pPr>
              <w:widowControl/>
              <w:jc w:val="center"/>
              <w:rPr>
                <w:rFonts w:ascii="宋体" w:hAnsi="宋体" w:cs="宋体"/>
                <w:kern w:val="0"/>
                <w:sz w:val="18"/>
                <w:szCs w:val="18"/>
                <w:highlight w:val="none"/>
              </w:rPr>
            </w:pPr>
            <w:r>
              <w:rPr>
                <w:rFonts w:hint="eastAsia" w:ascii="宋体" w:hAnsi="宋体" w:cs="宋体"/>
                <w:kern w:val="0"/>
                <w:sz w:val="18"/>
                <w:szCs w:val="18"/>
                <w:highlight w:val="none"/>
              </w:rPr>
              <w:t>Y＜200</w:t>
            </w:r>
          </w:p>
        </w:tc>
      </w:tr>
      <w:tr w14:paraId="4EDF3889">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vAlign w:val="center"/>
          </w:tcPr>
          <w:p w14:paraId="3169EDF3">
            <w:pPr>
              <w:widowControl/>
              <w:spacing w:line="240" w:lineRule="exact"/>
              <w:jc w:val="left"/>
              <w:rPr>
                <w:rFonts w:ascii="宋体" w:hAnsi="宋体" w:cs="宋体"/>
                <w:kern w:val="0"/>
                <w:sz w:val="18"/>
                <w:szCs w:val="18"/>
                <w:highlight w:val="none"/>
              </w:rPr>
            </w:pPr>
            <w:r>
              <w:rPr>
                <w:rFonts w:hint="eastAsia" w:ascii="宋体" w:hAnsi="宋体" w:cs="宋体"/>
                <w:kern w:val="0"/>
                <w:sz w:val="18"/>
                <w:szCs w:val="18"/>
                <w:highlight w:val="none"/>
              </w:rPr>
              <w:t>仓储业*</w:t>
            </w:r>
          </w:p>
        </w:tc>
        <w:tc>
          <w:tcPr>
            <w:tcW w:w="1369" w:type="dxa"/>
            <w:tcBorders>
              <w:top w:val="nil"/>
              <w:left w:val="nil"/>
              <w:bottom w:val="nil"/>
              <w:right w:val="single" w:color="auto" w:sz="4" w:space="0"/>
            </w:tcBorders>
            <w:vAlign w:val="center"/>
          </w:tcPr>
          <w:p w14:paraId="29A20ADA">
            <w:pPr>
              <w:widowControl/>
              <w:jc w:val="center"/>
              <w:rPr>
                <w:rFonts w:ascii="宋体" w:hAnsi="宋体" w:cs="宋体"/>
                <w:kern w:val="0"/>
                <w:sz w:val="18"/>
                <w:szCs w:val="18"/>
                <w:highlight w:val="none"/>
              </w:rPr>
            </w:pPr>
            <w:r>
              <w:rPr>
                <w:rFonts w:hint="eastAsia" w:ascii="宋体" w:hAnsi="宋体" w:cs="宋体"/>
                <w:kern w:val="0"/>
                <w:sz w:val="18"/>
                <w:szCs w:val="18"/>
                <w:highlight w:val="none"/>
              </w:rPr>
              <w:t>从业人员(X)</w:t>
            </w:r>
          </w:p>
        </w:tc>
        <w:tc>
          <w:tcPr>
            <w:tcW w:w="709" w:type="dxa"/>
            <w:tcBorders>
              <w:top w:val="nil"/>
              <w:left w:val="nil"/>
              <w:bottom w:val="nil"/>
              <w:right w:val="single" w:color="auto" w:sz="4" w:space="0"/>
            </w:tcBorders>
            <w:vAlign w:val="center"/>
          </w:tcPr>
          <w:p w14:paraId="17740947">
            <w:pPr>
              <w:widowControl/>
              <w:jc w:val="center"/>
              <w:rPr>
                <w:rFonts w:ascii="宋体" w:hAnsi="宋体" w:cs="宋体"/>
                <w:kern w:val="0"/>
                <w:sz w:val="18"/>
                <w:szCs w:val="18"/>
                <w:highlight w:val="none"/>
              </w:rPr>
            </w:pPr>
            <w:r>
              <w:rPr>
                <w:rFonts w:hint="eastAsia" w:ascii="宋体" w:hAnsi="宋体" w:cs="宋体"/>
                <w:kern w:val="0"/>
                <w:sz w:val="18"/>
                <w:szCs w:val="18"/>
                <w:highlight w:val="none"/>
              </w:rPr>
              <w:t>人</w:t>
            </w:r>
          </w:p>
        </w:tc>
        <w:tc>
          <w:tcPr>
            <w:tcW w:w="1125" w:type="dxa"/>
            <w:tcBorders>
              <w:top w:val="nil"/>
              <w:left w:val="nil"/>
              <w:bottom w:val="nil"/>
              <w:right w:val="single" w:color="auto" w:sz="4" w:space="0"/>
            </w:tcBorders>
            <w:vAlign w:val="center"/>
          </w:tcPr>
          <w:p w14:paraId="133671D3">
            <w:pPr>
              <w:widowControl/>
              <w:jc w:val="center"/>
              <w:rPr>
                <w:rFonts w:ascii="宋体" w:hAnsi="宋体" w:cs="宋体"/>
                <w:kern w:val="0"/>
                <w:sz w:val="18"/>
                <w:szCs w:val="18"/>
                <w:highlight w:val="none"/>
              </w:rPr>
            </w:pPr>
            <w:r>
              <w:rPr>
                <w:rFonts w:hint="eastAsia" w:ascii="宋体" w:hAnsi="宋体" w:cs="宋体"/>
                <w:kern w:val="0"/>
                <w:sz w:val="18"/>
                <w:szCs w:val="18"/>
                <w:highlight w:val="none"/>
              </w:rPr>
              <w:t>X≥200</w:t>
            </w:r>
          </w:p>
        </w:tc>
        <w:tc>
          <w:tcPr>
            <w:tcW w:w="1701" w:type="dxa"/>
            <w:tcBorders>
              <w:top w:val="nil"/>
              <w:left w:val="nil"/>
              <w:bottom w:val="nil"/>
              <w:right w:val="single" w:color="auto" w:sz="4" w:space="0"/>
            </w:tcBorders>
            <w:vAlign w:val="center"/>
          </w:tcPr>
          <w:p w14:paraId="08C578BF">
            <w:pPr>
              <w:widowControl/>
              <w:ind w:left="1" w:leftChars="-51" w:hanging="108" w:hangingChars="60"/>
              <w:jc w:val="center"/>
              <w:rPr>
                <w:rFonts w:ascii="宋体" w:hAnsi="宋体" w:cs="宋体"/>
                <w:kern w:val="0"/>
                <w:sz w:val="18"/>
                <w:szCs w:val="18"/>
                <w:highlight w:val="none"/>
              </w:rPr>
            </w:pPr>
            <w:r>
              <w:rPr>
                <w:rFonts w:hint="eastAsia" w:ascii="宋体" w:hAnsi="宋体" w:cs="宋体"/>
                <w:kern w:val="0"/>
                <w:sz w:val="18"/>
                <w:szCs w:val="18"/>
                <w:highlight w:val="none"/>
              </w:rPr>
              <w:t>100≤X＜200</w:t>
            </w:r>
          </w:p>
        </w:tc>
        <w:tc>
          <w:tcPr>
            <w:tcW w:w="1426" w:type="dxa"/>
            <w:tcBorders>
              <w:top w:val="nil"/>
              <w:left w:val="nil"/>
              <w:bottom w:val="nil"/>
              <w:right w:val="single" w:color="auto" w:sz="4" w:space="0"/>
            </w:tcBorders>
            <w:vAlign w:val="center"/>
          </w:tcPr>
          <w:p w14:paraId="29A02B0C">
            <w:pPr>
              <w:widowControl/>
              <w:jc w:val="center"/>
              <w:rPr>
                <w:rFonts w:ascii="宋体" w:hAnsi="宋体" w:cs="宋体"/>
                <w:kern w:val="0"/>
                <w:sz w:val="18"/>
                <w:szCs w:val="18"/>
                <w:highlight w:val="none"/>
              </w:rPr>
            </w:pPr>
            <w:r>
              <w:rPr>
                <w:rFonts w:hint="eastAsia" w:ascii="宋体" w:hAnsi="宋体" w:cs="宋体"/>
                <w:kern w:val="0"/>
                <w:sz w:val="18"/>
                <w:szCs w:val="18"/>
                <w:highlight w:val="none"/>
              </w:rPr>
              <w:t xml:space="preserve"> 20≤X＜100</w:t>
            </w:r>
          </w:p>
        </w:tc>
        <w:tc>
          <w:tcPr>
            <w:tcW w:w="992" w:type="dxa"/>
            <w:tcBorders>
              <w:top w:val="nil"/>
              <w:left w:val="nil"/>
              <w:bottom w:val="nil"/>
              <w:right w:val="nil"/>
            </w:tcBorders>
            <w:vAlign w:val="center"/>
          </w:tcPr>
          <w:p w14:paraId="31A46DF2">
            <w:pPr>
              <w:widowControl/>
              <w:jc w:val="center"/>
              <w:rPr>
                <w:rFonts w:ascii="宋体" w:hAnsi="宋体" w:cs="宋体"/>
                <w:kern w:val="0"/>
                <w:sz w:val="18"/>
                <w:szCs w:val="18"/>
                <w:highlight w:val="none"/>
              </w:rPr>
            </w:pPr>
            <w:r>
              <w:rPr>
                <w:rFonts w:hint="eastAsia" w:ascii="宋体" w:hAnsi="宋体" w:cs="宋体"/>
                <w:kern w:val="0"/>
                <w:sz w:val="18"/>
                <w:szCs w:val="18"/>
                <w:highlight w:val="none"/>
              </w:rPr>
              <w:t>X＜20</w:t>
            </w:r>
          </w:p>
        </w:tc>
      </w:tr>
      <w:tr w14:paraId="29777DFA">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6F377D4A">
            <w:pPr>
              <w:widowControl/>
              <w:jc w:val="left"/>
              <w:rPr>
                <w:rFonts w:ascii="宋体" w:hAnsi="宋体" w:cs="宋体"/>
                <w:kern w:val="0"/>
                <w:sz w:val="18"/>
                <w:szCs w:val="18"/>
                <w:highlight w:val="none"/>
              </w:rPr>
            </w:pPr>
          </w:p>
        </w:tc>
        <w:tc>
          <w:tcPr>
            <w:tcW w:w="1369" w:type="dxa"/>
            <w:tcBorders>
              <w:top w:val="nil"/>
              <w:left w:val="nil"/>
              <w:bottom w:val="single" w:color="auto" w:sz="4" w:space="0"/>
              <w:right w:val="single" w:color="auto" w:sz="4" w:space="0"/>
            </w:tcBorders>
            <w:vAlign w:val="center"/>
          </w:tcPr>
          <w:p w14:paraId="7642EA75">
            <w:pPr>
              <w:widowControl/>
              <w:spacing w:line="240" w:lineRule="exact"/>
              <w:jc w:val="center"/>
              <w:rPr>
                <w:rFonts w:ascii="宋体" w:hAnsi="宋体" w:cs="宋体"/>
                <w:kern w:val="0"/>
                <w:sz w:val="18"/>
                <w:szCs w:val="18"/>
                <w:highlight w:val="none"/>
              </w:rPr>
            </w:pPr>
            <w:r>
              <w:rPr>
                <w:rFonts w:hint="eastAsia" w:ascii="宋体" w:hAnsi="宋体" w:cs="宋体"/>
                <w:kern w:val="0"/>
                <w:sz w:val="18"/>
                <w:szCs w:val="18"/>
                <w:highlight w:val="none"/>
              </w:rPr>
              <w:t>营业收入(Y)</w:t>
            </w:r>
          </w:p>
        </w:tc>
        <w:tc>
          <w:tcPr>
            <w:tcW w:w="709" w:type="dxa"/>
            <w:tcBorders>
              <w:top w:val="nil"/>
              <w:left w:val="nil"/>
              <w:bottom w:val="single" w:color="auto" w:sz="4" w:space="0"/>
              <w:right w:val="single" w:color="auto" w:sz="4" w:space="0"/>
            </w:tcBorders>
            <w:vAlign w:val="center"/>
          </w:tcPr>
          <w:p w14:paraId="277DF314">
            <w:pPr>
              <w:widowControl/>
              <w:jc w:val="center"/>
              <w:rPr>
                <w:rFonts w:ascii="宋体" w:hAnsi="宋体" w:cs="宋体"/>
                <w:kern w:val="0"/>
                <w:sz w:val="18"/>
                <w:szCs w:val="18"/>
                <w:highlight w:val="none"/>
              </w:rPr>
            </w:pPr>
            <w:r>
              <w:rPr>
                <w:rFonts w:hint="eastAsia" w:ascii="宋体" w:hAnsi="宋体" w:cs="宋体"/>
                <w:kern w:val="0"/>
                <w:sz w:val="18"/>
                <w:szCs w:val="18"/>
                <w:highlight w:val="none"/>
              </w:rPr>
              <w:t>万元</w:t>
            </w:r>
          </w:p>
        </w:tc>
        <w:tc>
          <w:tcPr>
            <w:tcW w:w="1125" w:type="dxa"/>
            <w:tcBorders>
              <w:top w:val="nil"/>
              <w:left w:val="nil"/>
              <w:bottom w:val="single" w:color="auto" w:sz="4" w:space="0"/>
              <w:right w:val="single" w:color="auto" w:sz="4" w:space="0"/>
            </w:tcBorders>
            <w:vAlign w:val="center"/>
          </w:tcPr>
          <w:p w14:paraId="5DFED865">
            <w:pPr>
              <w:widowControl/>
              <w:jc w:val="center"/>
              <w:rPr>
                <w:rFonts w:ascii="宋体" w:hAnsi="宋体" w:cs="宋体"/>
                <w:kern w:val="0"/>
                <w:sz w:val="18"/>
                <w:szCs w:val="18"/>
                <w:highlight w:val="none"/>
              </w:rPr>
            </w:pPr>
            <w:r>
              <w:rPr>
                <w:rFonts w:hint="eastAsia" w:ascii="宋体" w:hAnsi="宋体" w:cs="宋体"/>
                <w:kern w:val="0"/>
                <w:sz w:val="18"/>
                <w:szCs w:val="18"/>
                <w:highlight w:val="none"/>
              </w:rPr>
              <w:t>Y≥30000</w:t>
            </w:r>
          </w:p>
        </w:tc>
        <w:tc>
          <w:tcPr>
            <w:tcW w:w="1701" w:type="dxa"/>
            <w:tcBorders>
              <w:top w:val="nil"/>
              <w:left w:val="nil"/>
              <w:bottom w:val="single" w:color="auto" w:sz="4" w:space="0"/>
              <w:right w:val="single" w:color="auto" w:sz="4" w:space="0"/>
            </w:tcBorders>
            <w:vAlign w:val="center"/>
          </w:tcPr>
          <w:p w14:paraId="67A04566">
            <w:pPr>
              <w:widowControl/>
              <w:jc w:val="center"/>
              <w:rPr>
                <w:rFonts w:ascii="宋体" w:hAnsi="宋体" w:cs="宋体"/>
                <w:kern w:val="0"/>
                <w:sz w:val="18"/>
                <w:szCs w:val="18"/>
                <w:highlight w:val="none"/>
              </w:rPr>
            </w:pPr>
            <w:r>
              <w:rPr>
                <w:rFonts w:hint="eastAsia" w:ascii="宋体" w:hAnsi="宋体" w:cs="宋体"/>
                <w:kern w:val="0"/>
                <w:sz w:val="18"/>
                <w:szCs w:val="18"/>
                <w:highlight w:val="none"/>
              </w:rPr>
              <w:t>1000≤Y＜30000</w:t>
            </w:r>
          </w:p>
        </w:tc>
        <w:tc>
          <w:tcPr>
            <w:tcW w:w="1426" w:type="dxa"/>
            <w:tcBorders>
              <w:top w:val="nil"/>
              <w:left w:val="nil"/>
              <w:bottom w:val="single" w:color="auto" w:sz="4" w:space="0"/>
              <w:right w:val="single" w:color="auto" w:sz="4" w:space="0"/>
            </w:tcBorders>
            <w:vAlign w:val="center"/>
          </w:tcPr>
          <w:p w14:paraId="36B12634">
            <w:pPr>
              <w:widowControl/>
              <w:jc w:val="center"/>
              <w:rPr>
                <w:rFonts w:ascii="宋体" w:hAnsi="宋体" w:cs="宋体"/>
                <w:kern w:val="0"/>
                <w:sz w:val="18"/>
                <w:szCs w:val="18"/>
                <w:highlight w:val="none"/>
              </w:rPr>
            </w:pPr>
            <w:r>
              <w:rPr>
                <w:rFonts w:hint="eastAsia" w:ascii="宋体" w:hAnsi="宋体" w:cs="宋体"/>
                <w:kern w:val="0"/>
                <w:sz w:val="18"/>
                <w:szCs w:val="18"/>
                <w:highlight w:val="none"/>
              </w:rPr>
              <w:t xml:space="preserve"> 100≤Y＜1000</w:t>
            </w:r>
          </w:p>
        </w:tc>
        <w:tc>
          <w:tcPr>
            <w:tcW w:w="992" w:type="dxa"/>
            <w:tcBorders>
              <w:top w:val="nil"/>
              <w:left w:val="nil"/>
              <w:bottom w:val="single" w:color="auto" w:sz="4" w:space="0"/>
              <w:right w:val="nil"/>
            </w:tcBorders>
            <w:vAlign w:val="center"/>
          </w:tcPr>
          <w:p w14:paraId="1A014DE5">
            <w:pPr>
              <w:widowControl/>
              <w:jc w:val="center"/>
              <w:rPr>
                <w:rFonts w:ascii="宋体" w:hAnsi="宋体" w:cs="宋体"/>
                <w:kern w:val="0"/>
                <w:sz w:val="18"/>
                <w:szCs w:val="18"/>
                <w:highlight w:val="none"/>
              </w:rPr>
            </w:pPr>
            <w:r>
              <w:rPr>
                <w:rFonts w:hint="eastAsia" w:ascii="宋体" w:hAnsi="宋体" w:cs="宋体"/>
                <w:kern w:val="0"/>
                <w:sz w:val="18"/>
                <w:szCs w:val="18"/>
                <w:highlight w:val="none"/>
              </w:rPr>
              <w:t>Y＜100</w:t>
            </w:r>
          </w:p>
        </w:tc>
      </w:tr>
      <w:tr w14:paraId="126FCEE8">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vAlign w:val="center"/>
          </w:tcPr>
          <w:p w14:paraId="663538E1">
            <w:pPr>
              <w:widowControl/>
              <w:spacing w:line="240" w:lineRule="exact"/>
              <w:jc w:val="left"/>
              <w:rPr>
                <w:rFonts w:ascii="宋体" w:hAnsi="宋体" w:cs="宋体"/>
                <w:kern w:val="0"/>
                <w:sz w:val="18"/>
                <w:szCs w:val="18"/>
                <w:highlight w:val="none"/>
              </w:rPr>
            </w:pPr>
            <w:r>
              <w:rPr>
                <w:rFonts w:hint="eastAsia" w:ascii="宋体" w:hAnsi="宋体" w:cs="宋体"/>
                <w:kern w:val="0"/>
                <w:sz w:val="18"/>
                <w:szCs w:val="18"/>
                <w:highlight w:val="none"/>
              </w:rPr>
              <w:t>邮政业</w:t>
            </w:r>
          </w:p>
        </w:tc>
        <w:tc>
          <w:tcPr>
            <w:tcW w:w="1369" w:type="dxa"/>
            <w:tcBorders>
              <w:top w:val="nil"/>
              <w:left w:val="nil"/>
              <w:bottom w:val="nil"/>
              <w:right w:val="single" w:color="auto" w:sz="4" w:space="0"/>
            </w:tcBorders>
            <w:vAlign w:val="center"/>
          </w:tcPr>
          <w:p w14:paraId="3AD9B864">
            <w:pPr>
              <w:widowControl/>
              <w:jc w:val="center"/>
              <w:rPr>
                <w:rFonts w:ascii="宋体" w:hAnsi="宋体" w:cs="宋体"/>
                <w:kern w:val="0"/>
                <w:sz w:val="18"/>
                <w:szCs w:val="18"/>
                <w:highlight w:val="none"/>
              </w:rPr>
            </w:pPr>
            <w:r>
              <w:rPr>
                <w:rFonts w:hint="eastAsia" w:ascii="宋体" w:hAnsi="宋体" w:cs="宋体"/>
                <w:kern w:val="0"/>
                <w:sz w:val="18"/>
                <w:szCs w:val="18"/>
                <w:highlight w:val="none"/>
              </w:rPr>
              <w:t>从业人员(X)</w:t>
            </w:r>
          </w:p>
        </w:tc>
        <w:tc>
          <w:tcPr>
            <w:tcW w:w="709" w:type="dxa"/>
            <w:tcBorders>
              <w:top w:val="nil"/>
              <w:left w:val="nil"/>
              <w:bottom w:val="nil"/>
              <w:right w:val="single" w:color="auto" w:sz="4" w:space="0"/>
            </w:tcBorders>
            <w:vAlign w:val="center"/>
          </w:tcPr>
          <w:p w14:paraId="3EAD69CF">
            <w:pPr>
              <w:widowControl/>
              <w:jc w:val="center"/>
              <w:rPr>
                <w:rFonts w:ascii="宋体" w:hAnsi="宋体" w:cs="宋体"/>
                <w:kern w:val="0"/>
                <w:sz w:val="18"/>
                <w:szCs w:val="18"/>
                <w:highlight w:val="none"/>
              </w:rPr>
            </w:pPr>
            <w:r>
              <w:rPr>
                <w:rFonts w:hint="eastAsia" w:ascii="宋体" w:hAnsi="宋体" w:cs="宋体"/>
                <w:kern w:val="0"/>
                <w:sz w:val="18"/>
                <w:szCs w:val="18"/>
                <w:highlight w:val="none"/>
              </w:rPr>
              <w:t>人</w:t>
            </w:r>
          </w:p>
        </w:tc>
        <w:tc>
          <w:tcPr>
            <w:tcW w:w="1125" w:type="dxa"/>
            <w:tcBorders>
              <w:top w:val="nil"/>
              <w:left w:val="nil"/>
              <w:bottom w:val="nil"/>
              <w:right w:val="single" w:color="auto" w:sz="4" w:space="0"/>
            </w:tcBorders>
            <w:vAlign w:val="center"/>
          </w:tcPr>
          <w:p w14:paraId="3A3BE07C">
            <w:pPr>
              <w:widowControl/>
              <w:jc w:val="center"/>
              <w:rPr>
                <w:rFonts w:ascii="宋体" w:hAnsi="宋体" w:cs="宋体"/>
                <w:kern w:val="0"/>
                <w:sz w:val="18"/>
                <w:szCs w:val="18"/>
                <w:highlight w:val="none"/>
              </w:rPr>
            </w:pPr>
            <w:r>
              <w:rPr>
                <w:rFonts w:hint="eastAsia" w:ascii="宋体" w:hAnsi="宋体" w:cs="宋体"/>
                <w:kern w:val="0"/>
                <w:sz w:val="18"/>
                <w:szCs w:val="18"/>
                <w:highlight w:val="none"/>
              </w:rPr>
              <w:t>X≥1000</w:t>
            </w:r>
          </w:p>
        </w:tc>
        <w:tc>
          <w:tcPr>
            <w:tcW w:w="1701" w:type="dxa"/>
            <w:tcBorders>
              <w:top w:val="nil"/>
              <w:left w:val="nil"/>
              <w:bottom w:val="nil"/>
              <w:right w:val="single" w:color="auto" w:sz="4" w:space="0"/>
            </w:tcBorders>
            <w:vAlign w:val="center"/>
          </w:tcPr>
          <w:p w14:paraId="339C7C31">
            <w:pPr>
              <w:widowControl/>
              <w:jc w:val="center"/>
              <w:rPr>
                <w:rFonts w:ascii="宋体" w:hAnsi="宋体" w:cs="宋体"/>
                <w:kern w:val="0"/>
                <w:sz w:val="18"/>
                <w:szCs w:val="18"/>
                <w:highlight w:val="none"/>
              </w:rPr>
            </w:pPr>
            <w:r>
              <w:rPr>
                <w:rFonts w:hint="eastAsia" w:ascii="宋体" w:hAnsi="宋体" w:cs="宋体"/>
                <w:kern w:val="0"/>
                <w:sz w:val="18"/>
                <w:szCs w:val="18"/>
                <w:highlight w:val="none"/>
              </w:rPr>
              <w:t>300≤X＜1000</w:t>
            </w:r>
          </w:p>
        </w:tc>
        <w:tc>
          <w:tcPr>
            <w:tcW w:w="1426" w:type="dxa"/>
            <w:tcBorders>
              <w:top w:val="nil"/>
              <w:left w:val="nil"/>
              <w:bottom w:val="nil"/>
              <w:right w:val="single" w:color="auto" w:sz="4" w:space="0"/>
            </w:tcBorders>
            <w:vAlign w:val="center"/>
          </w:tcPr>
          <w:p w14:paraId="036A7BD0">
            <w:pPr>
              <w:widowControl/>
              <w:jc w:val="center"/>
              <w:rPr>
                <w:rFonts w:ascii="宋体" w:hAnsi="宋体" w:cs="宋体"/>
                <w:kern w:val="0"/>
                <w:sz w:val="18"/>
                <w:szCs w:val="18"/>
                <w:highlight w:val="none"/>
              </w:rPr>
            </w:pPr>
            <w:r>
              <w:rPr>
                <w:rFonts w:hint="eastAsia" w:ascii="宋体" w:hAnsi="宋体" w:cs="宋体"/>
                <w:kern w:val="0"/>
                <w:sz w:val="18"/>
                <w:szCs w:val="18"/>
                <w:highlight w:val="none"/>
              </w:rPr>
              <w:t xml:space="preserve"> 20≤X＜300</w:t>
            </w:r>
          </w:p>
        </w:tc>
        <w:tc>
          <w:tcPr>
            <w:tcW w:w="992" w:type="dxa"/>
            <w:tcBorders>
              <w:top w:val="nil"/>
              <w:left w:val="nil"/>
              <w:bottom w:val="nil"/>
              <w:right w:val="nil"/>
            </w:tcBorders>
            <w:vAlign w:val="center"/>
          </w:tcPr>
          <w:p w14:paraId="0716A624">
            <w:pPr>
              <w:widowControl/>
              <w:jc w:val="center"/>
              <w:rPr>
                <w:rFonts w:ascii="宋体" w:hAnsi="宋体" w:cs="宋体"/>
                <w:kern w:val="0"/>
                <w:sz w:val="18"/>
                <w:szCs w:val="18"/>
                <w:highlight w:val="none"/>
              </w:rPr>
            </w:pPr>
            <w:r>
              <w:rPr>
                <w:rFonts w:hint="eastAsia" w:ascii="宋体" w:hAnsi="宋体" w:cs="宋体"/>
                <w:kern w:val="0"/>
                <w:sz w:val="18"/>
                <w:szCs w:val="18"/>
                <w:highlight w:val="none"/>
              </w:rPr>
              <w:t>X＜20</w:t>
            </w:r>
          </w:p>
        </w:tc>
      </w:tr>
      <w:tr w14:paraId="51CFBBE7">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2537B018">
            <w:pPr>
              <w:widowControl/>
              <w:jc w:val="left"/>
              <w:rPr>
                <w:rFonts w:ascii="宋体" w:hAnsi="宋体" w:cs="宋体"/>
                <w:kern w:val="0"/>
                <w:sz w:val="18"/>
                <w:szCs w:val="18"/>
                <w:highlight w:val="none"/>
              </w:rPr>
            </w:pPr>
          </w:p>
        </w:tc>
        <w:tc>
          <w:tcPr>
            <w:tcW w:w="1369" w:type="dxa"/>
            <w:tcBorders>
              <w:top w:val="nil"/>
              <w:left w:val="nil"/>
              <w:bottom w:val="single" w:color="auto" w:sz="4" w:space="0"/>
              <w:right w:val="single" w:color="auto" w:sz="4" w:space="0"/>
            </w:tcBorders>
            <w:vAlign w:val="center"/>
          </w:tcPr>
          <w:p w14:paraId="2D8267D3">
            <w:pPr>
              <w:widowControl/>
              <w:spacing w:line="240" w:lineRule="exact"/>
              <w:jc w:val="center"/>
              <w:rPr>
                <w:rFonts w:ascii="宋体" w:hAnsi="宋体" w:cs="宋体"/>
                <w:kern w:val="0"/>
                <w:sz w:val="18"/>
                <w:szCs w:val="18"/>
                <w:highlight w:val="none"/>
              </w:rPr>
            </w:pPr>
            <w:r>
              <w:rPr>
                <w:rFonts w:hint="eastAsia" w:ascii="宋体" w:hAnsi="宋体" w:cs="宋体"/>
                <w:kern w:val="0"/>
                <w:sz w:val="18"/>
                <w:szCs w:val="18"/>
                <w:highlight w:val="none"/>
              </w:rPr>
              <w:t>营业收入(Y)</w:t>
            </w:r>
          </w:p>
        </w:tc>
        <w:tc>
          <w:tcPr>
            <w:tcW w:w="709" w:type="dxa"/>
            <w:tcBorders>
              <w:top w:val="nil"/>
              <w:left w:val="nil"/>
              <w:bottom w:val="single" w:color="auto" w:sz="4" w:space="0"/>
              <w:right w:val="single" w:color="auto" w:sz="4" w:space="0"/>
            </w:tcBorders>
            <w:vAlign w:val="center"/>
          </w:tcPr>
          <w:p w14:paraId="5D3E4047">
            <w:pPr>
              <w:widowControl/>
              <w:jc w:val="center"/>
              <w:rPr>
                <w:rFonts w:ascii="宋体" w:hAnsi="宋体" w:cs="宋体"/>
                <w:kern w:val="0"/>
                <w:sz w:val="18"/>
                <w:szCs w:val="18"/>
                <w:highlight w:val="none"/>
              </w:rPr>
            </w:pPr>
            <w:r>
              <w:rPr>
                <w:rFonts w:hint="eastAsia" w:ascii="宋体" w:hAnsi="宋体" w:cs="宋体"/>
                <w:kern w:val="0"/>
                <w:sz w:val="18"/>
                <w:szCs w:val="18"/>
                <w:highlight w:val="none"/>
              </w:rPr>
              <w:t>万元</w:t>
            </w:r>
          </w:p>
        </w:tc>
        <w:tc>
          <w:tcPr>
            <w:tcW w:w="1125" w:type="dxa"/>
            <w:tcBorders>
              <w:top w:val="nil"/>
              <w:left w:val="nil"/>
              <w:bottom w:val="single" w:color="auto" w:sz="4" w:space="0"/>
              <w:right w:val="single" w:color="auto" w:sz="4" w:space="0"/>
            </w:tcBorders>
            <w:vAlign w:val="center"/>
          </w:tcPr>
          <w:p w14:paraId="63FEFDAD">
            <w:pPr>
              <w:widowControl/>
              <w:jc w:val="center"/>
              <w:rPr>
                <w:rFonts w:ascii="宋体" w:hAnsi="宋体" w:cs="宋体"/>
                <w:kern w:val="0"/>
                <w:sz w:val="18"/>
                <w:szCs w:val="18"/>
                <w:highlight w:val="none"/>
              </w:rPr>
            </w:pPr>
            <w:r>
              <w:rPr>
                <w:rFonts w:hint="eastAsia" w:ascii="宋体" w:hAnsi="宋体" w:cs="宋体"/>
                <w:kern w:val="0"/>
                <w:sz w:val="18"/>
                <w:szCs w:val="18"/>
                <w:highlight w:val="none"/>
              </w:rPr>
              <w:t>Y≥30000</w:t>
            </w:r>
          </w:p>
        </w:tc>
        <w:tc>
          <w:tcPr>
            <w:tcW w:w="1701" w:type="dxa"/>
            <w:tcBorders>
              <w:top w:val="nil"/>
              <w:left w:val="nil"/>
              <w:bottom w:val="single" w:color="auto" w:sz="4" w:space="0"/>
              <w:right w:val="single" w:color="auto" w:sz="4" w:space="0"/>
            </w:tcBorders>
            <w:vAlign w:val="center"/>
          </w:tcPr>
          <w:p w14:paraId="1A7F22E4">
            <w:pPr>
              <w:widowControl/>
              <w:jc w:val="center"/>
              <w:rPr>
                <w:rFonts w:ascii="宋体" w:hAnsi="宋体" w:cs="宋体"/>
                <w:kern w:val="0"/>
                <w:sz w:val="18"/>
                <w:szCs w:val="18"/>
                <w:highlight w:val="none"/>
              </w:rPr>
            </w:pPr>
            <w:r>
              <w:rPr>
                <w:rFonts w:hint="eastAsia" w:ascii="宋体" w:hAnsi="宋体" w:cs="宋体"/>
                <w:kern w:val="0"/>
                <w:sz w:val="18"/>
                <w:szCs w:val="18"/>
                <w:highlight w:val="none"/>
              </w:rPr>
              <w:t>2000≤Y＜30000</w:t>
            </w:r>
          </w:p>
        </w:tc>
        <w:tc>
          <w:tcPr>
            <w:tcW w:w="1426" w:type="dxa"/>
            <w:tcBorders>
              <w:top w:val="nil"/>
              <w:left w:val="nil"/>
              <w:bottom w:val="single" w:color="auto" w:sz="4" w:space="0"/>
              <w:right w:val="single" w:color="auto" w:sz="4" w:space="0"/>
            </w:tcBorders>
            <w:vAlign w:val="center"/>
          </w:tcPr>
          <w:p w14:paraId="5F26AFAD">
            <w:pPr>
              <w:widowControl/>
              <w:jc w:val="center"/>
              <w:rPr>
                <w:rFonts w:ascii="宋体" w:hAnsi="宋体" w:cs="宋体"/>
                <w:kern w:val="0"/>
                <w:sz w:val="18"/>
                <w:szCs w:val="18"/>
                <w:highlight w:val="none"/>
              </w:rPr>
            </w:pPr>
            <w:r>
              <w:rPr>
                <w:rFonts w:hint="eastAsia" w:ascii="宋体" w:hAnsi="宋体" w:cs="宋体"/>
                <w:kern w:val="0"/>
                <w:sz w:val="18"/>
                <w:szCs w:val="18"/>
                <w:highlight w:val="none"/>
              </w:rPr>
              <w:t xml:space="preserve"> 100≤Y＜2000</w:t>
            </w:r>
          </w:p>
        </w:tc>
        <w:tc>
          <w:tcPr>
            <w:tcW w:w="992" w:type="dxa"/>
            <w:tcBorders>
              <w:top w:val="nil"/>
              <w:left w:val="nil"/>
              <w:bottom w:val="single" w:color="auto" w:sz="4" w:space="0"/>
              <w:right w:val="nil"/>
            </w:tcBorders>
            <w:vAlign w:val="center"/>
          </w:tcPr>
          <w:p w14:paraId="1E7650C1">
            <w:pPr>
              <w:widowControl/>
              <w:jc w:val="center"/>
              <w:rPr>
                <w:rFonts w:ascii="宋体" w:hAnsi="宋体" w:cs="宋体"/>
                <w:kern w:val="0"/>
                <w:sz w:val="18"/>
                <w:szCs w:val="18"/>
                <w:highlight w:val="none"/>
              </w:rPr>
            </w:pPr>
            <w:r>
              <w:rPr>
                <w:rFonts w:hint="eastAsia" w:ascii="宋体" w:hAnsi="宋体" w:cs="宋体"/>
                <w:kern w:val="0"/>
                <w:sz w:val="18"/>
                <w:szCs w:val="18"/>
                <w:highlight w:val="none"/>
              </w:rPr>
              <w:t>Y＜100</w:t>
            </w:r>
          </w:p>
        </w:tc>
      </w:tr>
      <w:tr w14:paraId="5FEB77A7">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vAlign w:val="center"/>
          </w:tcPr>
          <w:p w14:paraId="02927133">
            <w:pPr>
              <w:widowControl/>
              <w:spacing w:line="240" w:lineRule="exact"/>
              <w:jc w:val="left"/>
              <w:rPr>
                <w:rFonts w:ascii="宋体" w:hAnsi="宋体" w:cs="宋体"/>
                <w:kern w:val="0"/>
                <w:sz w:val="18"/>
                <w:szCs w:val="18"/>
                <w:highlight w:val="none"/>
              </w:rPr>
            </w:pPr>
            <w:r>
              <w:rPr>
                <w:rFonts w:hint="eastAsia" w:ascii="宋体" w:hAnsi="宋体" w:cs="宋体"/>
                <w:kern w:val="0"/>
                <w:sz w:val="18"/>
                <w:szCs w:val="18"/>
                <w:highlight w:val="none"/>
              </w:rPr>
              <w:t>住宿业</w:t>
            </w:r>
          </w:p>
        </w:tc>
        <w:tc>
          <w:tcPr>
            <w:tcW w:w="1369" w:type="dxa"/>
            <w:tcBorders>
              <w:top w:val="nil"/>
              <w:left w:val="nil"/>
              <w:bottom w:val="nil"/>
              <w:right w:val="single" w:color="auto" w:sz="4" w:space="0"/>
            </w:tcBorders>
            <w:vAlign w:val="center"/>
          </w:tcPr>
          <w:p w14:paraId="77123B81">
            <w:pPr>
              <w:widowControl/>
              <w:jc w:val="center"/>
              <w:rPr>
                <w:rFonts w:ascii="宋体" w:hAnsi="宋体" w:cs="宋体"/>
                <w:kern w:val="0"/>
                <w:sz w:val="18"/>
                <w:szCs w:val="18"/>
                <w:highlight w:val="none"/>
              </w:rPr>
            </w:pPr>
            <w:r>
              <w:rPr>
                <w:rFonts w:hint="eastAsia" w:ascii="宋体" w:hAnsi="宋体" w:cs="宋体"/>
                <w:kern w:val="0"/>
                <w:sz w:val="18"/>
                <w:szCs w:val="18"/>
                <w:highlight w:val="none"/>
              </w:rPr>
              <w:t>从业人员(X)</w:t>
            </w:r>
          </w:p>
        </w:tc>
        <w:tc>
          <w:tcPr>
            <w:tcW w:w="709" w:type="dxa"/>
            <w:tcBorders>
              <w:top w:val="nil"/>
              <w:left w:val="nil"/>
              <w:bottom w:val="nil"/>
              <w:right w:val="single" w:color="auto" w:sz="4" w:space="0"/>
            </w:tcBorders>
            <w:vAlign w:val="center"/>
          </w:tcPr>
          <w:p w14:paraId="0620BA9B">
            <w:pPr>
              <w:widowControl/>
              <w:jc w:val="center"/>
              <w:rPr>
                <w:rFonts w:ascii="宋体" w:hAnsi="宋体" w:cs="宋体"/>
                <w:kern w:val="0"/>
                <w:sz w:val="18"/>
                <w:szCs w:val="18"/>
                <w:highlight w:val="none"/>
              </w:rPr>
            </w:pPr>
            <w:r>
              <w:rPr>
                <w:rFonts w:hint="eastAsia" w:ascii="宋体" w:hAnsi="宋体" w:cs="宋体"/>
                <w:kern w:val="0"/>
                <w:sz w:val="18"/>
                <w:szCs w:val="18"/>
                <w:highlight w:val="none"/>
              </w:rPr>
              <w:t>人</w:t>
            </w:r>
          </w:p>
        </w:tc>
        <w:tc>
          <w:tcPr>
            <w:tcW w:w="1125" w:type="dxa"/>
            <w:tcBorders>
              <w:top w:val="nil"/>
              <w:left w:val="nil"/>
              <w:bottom w:val="nil"/>
              <w:right w:val="single" w:color="auto" w:sz="4" w:space="0"/>
            </w:tcBorders>
            <w:vAlign w:val="center"/>
          </w:tcPr>
          <w:p w14:paraId="7CE09BC7">
            <w:pPr>
              <w:widowControl/>
              <w:jc w:val="center"/>
              <w:rPr>
                <w:rFonts w:ascii="宋体" w:hAnsi="宋体" w:cs="宋体"/>
                <w:kern w:val="0"/>
                <w:sz w:val="18"/>
                <w:szCs w:val="18"/>
                <w:highlight w:val="none"/>
              </w:rPr>
            </w:pPr>
            <w:r>
              <w:rPr>
                <w:rFonts w:hint="eastAsia" w:ascii="宋体" w:hAnsi="宋体" w:cs="宋体"/>
                <w:kern w:val="0"/>
                <w:sz w:val="18"/>
                <w:szCs w:val="18"/>
                <w:highlight w:val="none"/>
              </w:rPr>
              <w:t>X≥300</w:t>
            </w:r>
          </w:p>
        </w:tc>
        <w:tc>
          <w:tcPr>
            <w:tcW w:w="1701" w:type="dxa"/>
            <w:tcBorders>
              <w:top w:val="nil"/>
              <w:left w:val="nil"/>
              <w:bottom w:val="nil"/>
              <w:right w:val="single" w:color="auto" w:sz="4" w:space="0"/>
            </w:tcBorders>
            <w:vAlign w:val="center"/>
          </w:tcPr>
          <w:p w14:paraId="0FE390DC">
            <w:pPr>
              <w:widowControl/>
              <w:ind w:left="1" w:leftChars="-51" w:hanging="108" w:hangingChars="60"/>
              <w:jc w:val="center"/>
              <w:rPr>
                <w:rFonts w:ascii="宋体" w:hAnsi="宋体" w:cs="宋体"/>
                <w:kern w:val="0"/>
                <w:sz w:val="18"/>
                <w:szCs w:val="18"/>
                <w:highlight w:val="none"/>
              </w:rPr>
            </w:pPr>
            <w:r>
              <w:rPr>
                <w:rFonts w:hint="eastAsia" w:ascii="宋体" w:hAnsi="宋体" w:cs="宋体"/>
                <w:kern w:val="0"/>
                <w:sz w:val="18"/>
                <w:szCs w:val="18"/>
                <w:highlight w:val="none"/>
              </w:rPr>
              <w:t xml:space="preserve">100≤X＜300 </w:t>
            </w:r>
          </w:p>
        </w:tc>
        <w:tc>
          <w:tcPr>
            <w:tcW w:w="1426" w:type="dxa"/>
            <w:tcBorders>
              <w:top w:val="nil"/>
              <w:left w:val="nil"/>
              <w:bottom w:val="nil"/>
              <w:right w:val="single" w:color="auto" w:sz="4" w:space="0"/>
            </w:tcBorders>
            <w:vAlign w:val="center"/>
          </w:tcPr>
          <w:p w14:paraId="3B5A895E">
            <w:pPr>
              <w:widowControl/>
              <w:jc w:val="center"/>
              <w:rPr>
                <w:rFonts w:ascii="宋体" w:hAnsi="宋体" w:cs="宋体"/>
                <w:kern w:val="0"/>
                <w:sz w:val="18"/>
                <w:szCs w:val="18"/>
                <w:highlight w:val="none"/>
              </w:rPr>
            </w:pPr>
            <w:r>
              <w:rPr>
                <w:rFonts w:hint="eastAsia" w:ascii="宋体" w:hAnsi="宋体" w:cs="宋体"/>
                <w:kern w:val="0"/>
                <w:sz w:val="18"/>
                <w:szCs w:val="18"/>
                <w:highlight w:val="none"/>
              </w:rPr>
              <w:t xml:space="preserve"> 10≤X＜100</w:t>
            </w:r>
          </w:p>
        </w:tc>
        <w:tc>
          <w:tcPr>
            <w:tcW w:w="992" w:type="dxa"/>
            <w:tcBorders>
              <w:top w:val="nil"/>
              <w:left w:val="nil"/>
              <w:bottom w:val="nil"/>
              <w:right w:val="nil"/>
            </w:tcBorders>
            <w:vAlign w:val="center"/>
          </w:tcPr>
          <w:p w14:paraId="43028F5E">
            <w:pPr>
              <w:widowControl/>
              <w:jc w:val="center"/>
              <w:rPr>
                <w:rFonts w:ascii="宋体" w:hAnsi="宋体" w:cs="宋体"/>
                <w:kern w:val="0"/>
                <w:sz w:val="18"/>
                <w:szCs w:val="18"/>
                <w:highlight w:val="none"/>
              </w:rPr>
            </w:pPr>
            <w:r>
              <w:rPr>
                <w:rFonts w:hint="eastAsia" w:ascii="宋体" w:hAnsi="宋体" w:cs="宋体"/>
                <w:kern w:val="0"/>
                <w:sz w:val="18"/>
                <w:szCs w:val="18"/>
                <w:highlight w:val="none"/>
              </w:rPr>
              <w:t>X＜10</w:t>
            </w:r>
          </w:p>
        </w:tc>
      </w:tr>
      <w:tr w14:paraId="51374988">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38D2E7B6">
            <w:pPr>
              <w:widowControl/>
              <w:jc w:val="left"/>
              <w:rPr>
                <w:rFonts w:ascii="宋体" w:hAnsi="宋体" w:cs="宋体"/>
                <w:kern w:val="0"/>
                <w:sz w:val="18"/>
                <w:szCs w:val="18"/>
                <w:highlight w:val="none"/>
              </w:rPr>
            </w:pPr>
          </w:p>
        </w:tc>
        <w:tc>
          <w:tcPr>
            <w:tcW w:w="1369" w:type="dxa"/>
            <w:tcBorders>
              <w:top w:val="nil"/>
              <w:left w:val="nil"/>
              <w:bottom w:val="single" w:color="auto" w:sz="4" w:space="0"/>
              <w:right w:val="single" w:color="auto" w:sz="4" w:space="0"/>
            </w:tcBorders>
            <w:vAlign w:val="center"/>
          </w:tcPr>
          <w:p w14:paraId="14CA2036">
            <w:pPr>
              <w:widowControl/>
              <w:spacing w:line="240" w:lineRule="exact"/>
              <w:jc w:val="center"/>
              <w:rPr>
                <w:rFonts w:ascii="宋体" w:hAnsi="宋体" w:cs="宋体"/>
                <w:kern w:val="0"/>
                <w:sz w:val="18"/>
                <w:szCs w:val="18"/>
                <w:highlight w:val="none"/>
              </w:rPr>
            </w:pPr>
            <w:r>
              <w:rPr>
                <w:rFonts w:hint="eastAsia" w:ascii="宋体" w:hAnsi="宋体" w:cs="宋体"/>
                <w:kern w:val="0"/>
                <w:sz w:val="18"/>
                <w:szCs w:val="18"/>
                <w:highlight w:val="none"/>
              </w:rPr>
              <w:t>营业收入(Y)</w:t>
            </w:r>
          </w:p>
        </w:tc>
        <w:tc>
          <w:tcPr>
            <w:tcW w:w="709" w:type="dxa"/>
            <w:tcBorders>
              <w:top w:val="nil"/>
              <w:left w:val="nil"/>
              <w:bottom w:val="single" w:color="auto" w:sz="4" w:space="0"/>
              <w:right w:val="single" w:color="auto" w:sz="4" w:space="0"/>
            </w:tcBorders>
            <w:vAlign w:val="center"/>
          </w:tcPr>
          <w:p w14:paraId="648EE9C6">
            <w:pPr>
              <w:widowControl/>
              <w:jc w:val="center"/>
              <w:rPr>
                <w:rFonts w:ascii="宋体" w:hAnsi="宋体" w:cs="宋体"/>
                <w:kern w:val="0"/>
                <w:sz w:val="18"/>
                <w:szCs w:val="18"/>
                <w:highlight w:val="none"/>
              </w:rPr>
            </w:pPr>
            <w:r>
              <w:rPr>
                <w:rFonts w:hint="eastAsia" w:ascii="宋体" w:hAnsi="宋体" w:cs="宋体"/>
                <w:kern w:val="0"/>
                <w:sz w:val="18"/>
                <w:szCs w:val="18"/>
                <w:highlight w:val="none"/>
              </w:rPr>
              <w:t>万元</w:t>
            </w:r>
          </w:p>
        </w:tc>
        <w:tc>
          <w:tcPr>
            <w:tcW w:w="1125" w:type="dxa"/>
            <w:tcBorders>
              <w:top w:val="nil"/>
              <w:left w:val="nil"/>
              <w:bottom w:val="single" w:color="auto" w:sz="4" w:space="0"/>
              <w:right w:val="single" w:color="auto" w:sz="4" w:space="0"/>
            </w:tcBorders>
            <w:vAlign w:val="center"/>
          </w:tcPr>
          <w:p w14:paraId="2CF6B686">
            <w:pPr>
              <w:widowControl/>
              <w:jc w:val="center"/>
              <w:rPr>
                <w:rFonts w:ascii="宋体" w:hAnsi="宋体" w:cs="宋体"/>
                <w:kern w:val="0"/>
                <w:sz w:val="18"/>
                <w:szCs w:val="18"/>
                <w:highlight w:val="none"/>
              </w:rPr>
            </w:pPr>
            <w:r>
              <w:rPr>
                <w:rFonts w:hint="eastAsia" w:ascii="宋体" w:hAnsi="宋体" w:cs="宋体"/>
                <w:kern w:val="0"/>
                <w:sz w:val="18"/>
                <w:szCs w:val="18"/>
                <w:highlight w:val="none"/>
              </w:rPr>
              <w:t>Y≥10000</w:t>
            </w:r>
          </w:p>
        </w:tc>
        <w:tc>
          <w:tcPr>
            <w:tcW w:w="1701" w:type="dxa"/>
            <w:tcBorders>
              <w:top w:val="nil"/>
              <w:left w:val="nil"/>
              <w:bottom w:val="single" w:color="auto" w:sz="4" w:space="0"/>
              <w:right w:val="single" w:color="auto" w:sz="4" w:space="0"/>
            </w:tcBorders>
            <w:vAlign w:val="center"/>
          </w:tcPr>
          <w:p w14:paraId="1ABCF9BC">
            <w:pPr>
              <w:widowControl/>
              <w:jc w:val="center"/>
              <w:rPr>
                <w:rFonts w:ascii="宋体" w:hAnsi="宋体" w:cs="宋体"/>
                <w:kern w:val="0"/>
                <w:sz w:val="18"/>
                <w:szCs w:val="18"/>
                <w:highlight w:val="none"/>
              </w:rPr>
            </w:pPr>
            <w:r>
              <w:rPr>
                <w:rFonts w:hint="eastAsia" w:ascii="宋体" w:hAnsi="宋体" w:cs="宋体"/>
                <w:kern w:val="0"/>
                <w:sz w:val="18"/>
                <w:szCs w:val="18"/>
                <w:highlight w:val="none"/>
              </w:rPr>
              <w:t>2000≤Y＜10000</w:t>
            </w:r>
          </w:p>
        </w:tc>
        <w:tc>
          <w:tcPr>
            <w:tcW w:w="1426" w:type="dxa"/>
            <w:tcBorders>
              <w:top w:val="nil"/>
              <w:left w:val="nil"/>
              <w:bottom w:val="single" w:color="auto" w:sz="4" w:space="0"/>
              <w:right w:val="single" w:color="auto" w:sz="4" w:space="0"/>
            </w:tcBorders>
            <w:vAlign w:val="center"/>
          </w:tcPr>
          <w:p w14:paraId="48534CB2">
            <w:pPr>
              <w:widowControl/>
              <w:jc w:val="center"/>
              <w:rPr>
                <w:rFonts w:ascii="宋体" w:hAnsi="宋体" w:cs="宋体"/>
                <w:kern w:val="0"/>
                <w:sz w:val="18"/>
                <w:szCs w:val="18"/>
                <w:highlight w:val="none"/>
              </w:rPr>
            </w:pPr>
            <w:r>
              <w:rPr>
                <w:rFonts w:hint="eastAsia" w:ascii="宋体" w:hAnsi="宋体" w:cs="宋体"/>
                <w:kern w:val="0"/>
                <w:sz w:val="18"/>
                <w:szCs w:val="18"/>
                <w:highlight w:val="none"/>
              </w:rPr>
              <w:t xml:space="preserve"> 100≤Y＜2000</w:t>
            </w:r>
          </w:p>
        </w:tc>
        <w:tc>
          <w:tcPr>
            <w:tcW w:w="992" w:type="dxa"/>
            <w:tcBorders>
              <w:top w:val="nil"/>
              <w:left w:val="nil"/>
              <w:bottom w:val="single" w:color="auto" w:sz="4" w:space="0"/>
              <w:right w:val="nil"/>
            </w:tcBorders>
            <w:vAlign w:val="center"/>
          </w:tcPr>
          <w:p w14:paraId="323FE0BD">
            <w:pPr>
              <w:widowControl/>
              <w:jc w:val="center"/>
              <w:rPr>
                <w:rFonts w:ascii="宋体" w:hAnsi="宋体" w:cs="宋体"/>
                <w:kern w:val="0"/>
                <w:sz w:val="18"/>
                <w:szCs w:val="18"/>
                <w:highlight w:val="none"/>
              </w:rPr>
            </w:pPr>
            <w:r>
              <w:rPr>
                <w:rFonts w:hint="eastAsia" w:ascii="宋体" w:hAnsi="宋体" w:cs="宋体"/>
                <w:kern w:val="0"/>
                <w:sz w:val="18"/>
                <w:szCs w:val="18"/>
                <w:highlight w:val="none"/>
              </w:rPr>
              <w:t>Y＜100</w:t>
            </w:r>
          </w:p>
        </w:tc>
      </w:tr>
      <w:tr w14:paraId="6F1DF0DE">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vAlign w:val="center"/>
          </w:tcPr>
          <w:p w14:paraId="58B2D8E4">
            <w:pPr>
              <w:widowControl/>
              <w:spacing w:line="240" w:lineRule="exact"/>
              <w:jc w:val="left"/>
              <w:rPr>
                <w:rFonts w:ascii="宋体" w:hAnsi="宋体" w:cs="宋体"/>
                <w:kern w:val="0"/>
                <w:sz w:val="18"/>
                <w:szCs w:val="18"/>
                <w:highlight w:val="none"/>
              </w:rPr>
            </w:pPr>
            <w:r>
              <w:rPr>
                <w:rFonts w:hint="eastAsia" w:ascii="宋体" w:hAnsi="宋体" w:cs="宋体"/>
                <w:kern w:val="0"/>
                <w:sz w:val="18"/>
                <w:szCs w:val="18"/>
                <w:highlight w:val="none"/>
              </w:rPr>
              <w:t>餐饮业</w:t>
            </w:r>
          </w:p>
        </w:tc>
        <w:tc>
          <w:tcPr>
            <w:tcW w:w="1369" w:type="dxa"/>
            <w:tcBorders>
              <w:top w:val="nil"/>
              <w:left w:val="nil"/>
              <w:bottom w:val="nil"/>
              <w:right w:val="single" w:color="auto" w:sz="4" w:space="0"/>
            </w:tcBorders>
            <w:vAlign w:val="center"/>
          </w:tcPr>
          <w:p w14:paraId="7161AADF">
            <w:pPr>
              <w:widowControl/>
              <w:jc w:val="center"/>
              <w:rPr>
                <w:rFonts w:ascii="宋体" w:hAnsi="宋体" w:cs="宋体"/>
                <w:kern w:val="0"/>
                <w:sz w:val="18"/>
                <w:szCs w:val="18"/>
                <w:highlight w:val="none"/>
              </w:rPr>
            </w:pPr>
            <w:r>
              <w:rPr>
                <w:rFonts w:hint="eastAsia" w:ascii="宋体" w:hAnsi="宋体" w:cs="宋体"/>
                <w:kern w:val="0"/>
                <w:sz w:val="18"/>
                <w:szCs w:val="18"/>
                <w:highlight w:val="none"/>
              </w:rPr>
              <w:t>从业人员(X)</w:t>
            </w:r>
          </w:p>
        </w:tc>
        <w:tc>
          <w:tcPr>
            <w:tcW w:w="709" w:type="dxa"/>
            <w:tcBorders>
              <w:top w:val="nil"/>
              <w:left w:val="nil"/>
              <w:bottom w:val="nil"/>
              <w:right w:val="single" w:color="auto" w:sz="4" w:space="0"/>
            </w:tcBorders>
            <w:vAlign w:val="center"/>
          </w:tcPr>
          <w:p w14:paraId="45CA048B">
            <w:pPr>
              <w:widowControl/>
              <w:jc w:val="center"/>
              <w:rPr>
                <w:rFonts w:ascii="宋体" w:hAnsi="宋体" w:cs="宋体"/>
                <w:kern w:val="0"/>
                <w:sz w:val="18"/>
                <w:szCs w:val="18"/>
                <w:highlight w:val="none"/>
              </w:rPr>
            </w:pPr>
            <w:r>
              <w:rPr>
                <w:rFonts w:hint="eastAsia" w:ascii="宋体" w:hAnsi="宋体" w:cs="宋体"/>
                <w:kern w:val="0"/>
                <w:sz w:val="18"/>
                <w:szCs w:val="18"/>
                <w:highlight w:val="none"/>
              </w:rPr>
              <w:t>人</w:t>
            </w:r>
          </w:p>
        </w:tc>
        <w:tc>
          <w:tcPr>
            <w:tcW w:w="1125" w:type="dxa"/>
            <w:tcBorders>
              <w:top w:val="nil"/>
              <w:left w:val="nil"/>
              <w:bottom w:val="nil"/>
              <w:right w:val="single" w:color="auto" w:sz="4" w:space="0"/>
            </w:tcBorders>
            <w:vAlign w:val="center"/>
          </w:tcPr>
          <w:p w14:paraId="23B4CEFB">
            <w:pPr>
              <w:widowControl/>
              <w:jc w:val="center"/>
              <w:rPr>
                <w:rFonts w:ascii="宋体" w:hAnsi="宋体" w:cs="宋体"/>
                <w:kern w:val="0"/>
                <w:sz w:val="18"/>
                <w:szCs w:val="18"/>
                <w:highlight w:val="none"/>
              </w:rPr>
            </w:pPr>
            <w:r>
              <w:rPr>
                <w:rFonts w:hint="eastAsia" w:ascii="宋体" w:hAnsi="宋体" w:cs="宋体"/>
                <w:kern w:val="0"/>
                <w:sz w:val="18"/>
                <w:szCs w:val="18"/>
                <w:highlight w:val="none"/>
              </w:rPr>
              <w:t>X≥300</w:t>
            </w:r>
          </w:p>
        </w:tc>
        <w:tc>
          <w:tcPr>
            <w:tcW w:w="1701" w:type="dxa"/>
            <w:tcBorders>
              <w:top w:val="nil"/>
              <w:left w:val="nil"/>
              <w:bottom w:val="nil"/>
              <w:right w:val="single" w:color="auto" w:sz="4" w:space="0"/>
            </w:tcBorders>
            <w:vAlign w:val="center"/>
          </w:tcPr>
          <w:p w14:paraId="27D0E81D">
            <w:pPr>
              <w:widowControl/>
              <w:ind w:left="1" w:leftChars="-51" w:hanging="108" w:hangingChars="60"/>
              <w:jc w:val="center"/>
              <w:rPr>
                <w:rFonts w:ascii="宋体" w:hAnsi="宋体" w:cs="宋体"/>
                <w:kern w:val="0"/>
                <w:sz w:val="18"/>
                <w:szCs w:val="18"/>
                <w:highlight w:val="none"/>
              </w:rPr>
            </w:pPr>
            <w:r>
              <w:rPr>
                <w:rFonts w:hint="eastAsia" w:ascii="宋体" w:hAnsi="宋体" w:cs="宋体"/>
                <w:kern w:val="0"/>
                <w:sz w:val="18"/>
                <w:szCs w:val="18"/>
                <w:highlight w:val="none"/>
              </w:rPr>
              <w:t xml:space="preserve">100≤X＜300 </w:t>
            </w:r>
          </w:p>
        </w:tc>
        <w:tc>
          <w:tcPr>
            <w:tcW w:w="1426" w:type="dxa"/>
            <w:tcBorders>
              <w:top w:val="nil"/>
              <w:left w:val="nil"/>
              <w:bottom w:val="nil"/>
              <w:right w:val="single" w:color="auto" w:sz="4" w:space="0"/>
            </w:tcBorders>
            <w:vAlign w:val="center"/>
          </w:tcPr>
          <w:p w14:paraId="581BEA97">
            <w:pPr>
              <w:widowControl/>
              <w:jc w:val="center"/>
              <w:rPr>
                <w:rFonts w:ascii="宋体" w:hAnsi="宋体" w:cs="宋体"/>
                <w:kern w:val="0"/>
                <w:sz w:val="18"/>
                <w:szCs w:val="18"/>
                <w:highlight w:val="none"/>
              </w:rPr>
            </w:pPr>
            <w:r>
              <w:rPr>
                <w:rFonts w:hint="eastAsia" w:ascii="宋体" w:hAnsi="宋体" w:cs="宋体"/>
                <w:kern w:val="0"/>
                <w:sz w:val="18"/>
                <w:szCs w:val="18"/>
                <w:highlight w:val="none"/>
              </w:rPr>
              <w:t xml:space="preserve"> 10≤X＜100</w:t>
            </w:r>
          </w:p>
        </w:tc>
        <w:tc>
          <w:tcPr>
            <w:tcW w:w="992" w:type="dxa"/>
            <w:tcBorders>
              <w:top w:val="nil"/>
              <w:left w:val="nil"/>
              <w:bottom w:val="nil"/>
              <w:right w:val="nil"/>
            </w:tcBorders>
            <w:vAlign w:val="center"/>
          </w:tcPr>
          <w:p w14:paraId="3A6FA79E">
            <w:pPr>
              <w:widowControl/>
              <w:jc w:val="center"/>
              <w:rPr>
                <w:rFonts w:ascii="宋体" w:hAnsi="宋体" w:cs="宋体"/>
                <w:kern w:val="0"/>
                <w:sz w:val="18"/>
                <w:szCs w:val="18"/>
                <w:highlight w:val="none"/>
              </w:rPr>
            </w:pPr>
            <w:r>
              <w:rPr>
                <w:rFonts w:hint="eastAsia" w:ascii="宋体" w:hAnsi="宋体" w:cs="宋体"/>
                <w:kern w:val="0"/>
                <w:sz w:val="18"/>
                <w:szCs w:val="18"/>
                <w:highlight w:val="none"/>
              </w:rPr>
              <w:t>X＜10</w:t>
            </w:r>
          </w:p>
        </w:tc>
      </w:tr>
      <w:tr w14:paraId="64A28400">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2A315338">
            <w:pPr>
              <w:widowControl/>
              <w:jc w:val="left"/>
              <w:rPr>
                <w:rFonts w:ascii="宋体" w:hAnsi="宋体" w:cs="宋体"/>
                <w:kern w:val="0"/>
                <w:sz w:val="18"/>
                <w:szCs w:val="18"/>
                <w:highlight w:val="none"/>
              </w:rPr>
            </w:pPr>
          </w:p>
        </w:tc>
        <w:tc>
          <w:tcPr>
            <w:tcW w:w="1369" w:type="dxa"/>
            <w:tcBorders>
              <w:top w:val="nil"/>
              <w:left w:val="nil"/>
              <w:bottom w:val="single" w:color="auto" w:sz="4" w:space="0"/>
              <w:right w:val="single" w:color="auto" w:sz="4" w:space="0"/>
            </w:tcBorders>
            <w:vAlign w:val="center"/>
          </w:tcPr>
          <w:p w14:paraId="78BCBE26">
            <w:pPr>
              <w:widowControl/>
              <w:spacing w:line="240" w:lineRule="exact"/>
              <w:jc w:val="center"/>
              <w:rPr>
                <w:rFonts w:ascii="宋体" w:hAnsi="宋体" w:cs="宋体"/>
                <w:kern w:val="0"/>
                <w:sz w:val="18"/>
                <w:szCs w:val="18"/>
                <w:highlight w:val="none"/>
              </w:rPr>
            </w:pPr>
            <w:r>
              <w:rPr>
                <w:rFonts w:hint="eastAsia" w:ascii="宋体" w:hAnsi="宋体" w:cs="宋体"/>
                <w:kern w:val="0"/>
                <w:sz w:val="18"/>
                <w:szCs w:val="18"/>
                <w:highlight w:val="none"/>
              </w:rPr>
              <w:t>营业收入(Y)</w:t>
            </w:r>
          </w:p>
        </w:tc>
        <w:tc>
          <w:tcPr>
            <w:tcW w:w="709" w:type="dxa"/>
            <w:tcBorders>
              <w:top w:val="nil"/>
              <w:left w:val="nil"/>
              <w:bottom w:val="single" w:color="auto" w:sz="4" w:space="0"/>
              <w:right w:val="single" w:color="auto" w:sz="4" w:space="0"/>
            </w:tcBorders>
            <w:vAlign w:val="center"/>
          </w:tcPr>
          <w:p w14:paraId="5F8C3F45">
            <w:pPr>
              <w:widowControl/>
              <w:jc w:val="center"/>
              <w:rPr>
                <w:rFonts w:ascii="宋体" w:hAnsi="宋体" w:cs="宋体"/>
                <w:kern w:val="0"/>
                <w:sz w:val="18"/>
                <w:szCs w:val="18"/>
                <w:highlight w:val="none"/>
              </w:rPr>
            </w:pPr>
            <w:r>
              <w:rPr>
                <w:rFonts w:hint="eastAsia" w:ascii="宋体" w:hAnsi="宋体" w:cs="宋体"/>
                <w:kern w:val="0"/>
                <w:sz w:val="18"/>
                <w:szCs w:val="18"/>
                <w:highlight w:val="none"/>
              </w:rPr>
              <w:t>万元</w:t>
            </w:r>
          </w:p>
        </w:tc>
        <w:tc>
          <w:tcPr>
            <w:tcW w:w="1125" w:type="dxa"/>
            <w:tcBorders>
              <w:top w:val="nil"/>
              <w:left w:val="nil"/>
              <w:bottom w:val="single" w:color="auto" w:sz="4" w:space="0"/>
              <w:right w:val="single" w:color="auto" w:sz="4" w:space="0"/>
            </w:tcBorders>
            <w:vAlign w:val="center"/>
          </w:tcPr>
          <w:p w14:paraId="49BE7EF4">
            <w:pPr>
              <w:widowControl/>
              <w:jc w:val="center"/>
              <w:rPr>
                <w:rFonts w:ascii="宋体" w:hAnsi="宋体" w:cs="宋体"/>
                <w:kern w:val="0"/>
                <w:sz w:val="18"/>
                <w:szCs w:val="18"/>
                <w:highlight w:val="none"/>
              </w:rPr>
            </w:pPr>
            <w:r>
              <w:rPr>
                <w:rFonts w:hint="eastAsia" w:ascii="宋体" w:hAnsi="宋体" w:cs="宋体"/>
                <w:kern w:val="0"/>
                <w:sz w:val="18"/>
                <w:szCs w:val="18"/>
                <w:highlight w:val="none"/>
              </w:rPr>
              <w:t>Y≥10000</w:t>
            </w:r>
          </w:p>
        </w:tc>
        <w:tc>
          <w:tcPr>
            <w:tcW w:w="1701" w:type="dxa"/>
            <w:tcBorders>
              <w:top w:val="nil"/>
              <w:left w:val="nil"/>
              <w:bottom w:val="single" w:color="auto" w:sz="4" w:space="0"/>
              <w:right w:val="single" w:color="auto" w:sz="4" w:space="0"/>
            </w:tcBorders>
            <w:vAlign w:val="center"/>
          </w:tcPr>
          <w:p w14:paraId="0A467D88">
            <w:pPr>
              <w:widowControl/>
              <w:jc w:val="center"/>
              <w:rPr>
                <w:rFonts w:ascii="宋体" w:hAnsi="宋体" w:cs="宋体"/>
                <w:kern w:val="0"/>
                <w:sz w:val="18"/>
                <w:szCs w:val="18"/>
                <w:highlight w:val="none"/>
              </w:rPr>
            </w:pPr>
            <w:r>
              <w:rPr>
                <w:rFonts w:hint="eastAsia" w:ascii="宋体" w:hAnsi="宋体" w:cs="宋体"/>
                <w:kern w:val="0"/>
                <w:sz w:val="18"/>
                <w:szCs w:val="18"/>
                <w:highlight w:val="none"/>
              </w:rPr>
              <w:t>2000≤Y＜10000</w:t>
            </w:r>
          </w:p>
        </w:tc>
        <w:tc>
          <w:tcPr>
            <w:tcW w:w="1426" w:type="dxa"/>
            <w:tcBorders>
              <w:top w:val="nil"/>
              <w:left w:val="nil"/>
              <w:bottom w:val="single" w:color="auto" w:sz="4" w:space="0"/>
              <w:right w:val="single" w:color="auto" w:sz="4" w:space="0"/>
            </w:tcBorders>
            <w:vAlign w:val="center"/>
          </w:tcPr>
          <w:p w14:paraId="22921FC2">
            <w:pPr>
              <w:widowControl/>
              <w:jc w:val="center"/>
              <w:rPr>
                <w:rFonts w:ascii="宋体" w:hAnsi="宋体" w:cs="宋体"/>
                <w:kern w:val="0"/>
                <w:sz w:val="18"/>
                <w:szCs w:val="18"/>
                <w:highlight w:val="none"/>
              </w:rPr>
            </w:pPr>
            <w:r>
              <w:rPr>
                <w:rFonts w:hint="eastAsia" w:ascii="宋体" w:hAnsi="宋体" w:cs="宋体"/>
                <w:kern w:val="0"/>
                <w:sz w:val="18"/>
                <w:szCs w:val="18"/>
                <w:highlight w:val="none"/>
              </w:rPr>
              <w:t xml:space="preserve"> 100≤Y＜2000</w:t>
            </w:r>
          </w:p>
        </w:tc>
        <w:tc>
          <w:tcPr>
            <w:tcW w:w="992" w:type="dxa"/>
            <w:tcBorders>
              <w:top w:val="nil"/>
              <w:left w:val="nil"/>
              <w:bottom w:val="single" w:color="auto" w:sz="4" w:space="0"/>
              <w:right w:val="nil"/>
            </w:tcBorders>
            <w:vAlign w:val="center"/>
          </w:tcPr>
          <w:p w14:paraId="2705668A">
            <w:pPr>
              <w:widowControl/>
              <w:jc w:val="center"/>
              <w:rPr>
                <w:rFonts w:ascii="宋体" w:hAnsi="宋体" w:cs="宋体"/>
                <w:kern w:val="0"/>
                <w:sz w:val="18"/>
                <w:szCs w:val="18"/>
                <w:highlight w:val="none"/>
              </w:rPr>
            </w:pPr>
            <w:r>
              <w:rPr>
                <w:rFonts w:hint="eastAsia" w:ascii="宋体" w:hAnsi="宋体" w:cs="宋体"/>
                <w:kern w:val="0"/>
                <w:sz w:val="18"/>
                <w:szCs w:val="18"/>
                <w:highlight w:val="none"/>
              </w:rPr>
              <w:t>Y＜100</w:t>
            </w:r>
          </w:p>
        </w:tc>
      </w:tr>
      <w:tr w14:paraId="312C29A2">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vAlign w:val="center"/>
          </w:tcPr>
          <w:p w14:paraId="6AAF0E2D">
            <w:pPr>
              <w:widowControl/>
              <w:spacing w:line="240" w:lineRule="exact"/>
              <w:jc w:val="left"/>
              <w:rPr>
                <w:rFonts w:ascii="宋体" w:hAnsi="宋体" w:cs="宋体"/>
                <w:kern w:val="0"/>
                <w:sz w:val="18"/>
                <w:szCs w:val="18"/>
                <w:highlight w:val="none"/>
              </w:rPr>
            </w:pPr>
            <w:r>
              <w:rPr>
                <w:rFonts w:hint="eastAsia" w:ascii="宋体" w:hAnsi="宋体" w:cs="宋体"/>
                <w:kern w:val="0"/>
                <w:sz w:val="18"/>
                <w:szCs w:val="18"/>
                <w:highlight w:val="none"/>
              </w:rPr>
              <w:t>信息传输业 *</w:t>
            </w:r>
          </w:p>
        </w:tc>
        <w:tc>
          <w:tcPr>
            <w:tcW w:w="1369" w:type="dxa"/>
            <w:tcBorders>
              <w:top w:val="nil"/>
              <w:left w:val="nil"/>
              <w:bottom w:val="nil"/>
              <w:right w:val="single" w:color="auto" w:sz="4" w:space="0"/>
            </w:tcBorders>
            <w:vAlign w:val="center"/>
          </w:tcPr>
          <w:p w14:paraId="6667F0F6">
            <w:pPr>
              <w:widowControl/>
              <w:jc w:val="center"/>
              <w:rPr>
                <w:rFonts w:ascii="宋体" w:hAnsi="宋体" w:cs="宋体"/>
                <w:kern w:val="0"/>
                <w:sz w:val="18"/>
                <w:szCs w:val="18"/>
                <w:highlight w:val="none"/>
              </w:rPr>
            </w:pPr>
            <w:r>
              <w:rPr>
                <w:rFonts w:hint="eastAsia" w:ascii="宋体" w:hAnsi="宋体" w:cs="宋体"/>
                <w:kern w:val="0"/>
                <w:sz w:val="18"/>
                <w:szCs w:val="18"/>
                <w:highlight w:val="none"/>
              </w:rPr>
              <w:t>从业人员(X)</w:t>
            </w:r>
          </w:p>
        </w:tc>
        <w:tc>
          <w:tcPr>
            <w:tcW w:w="709" w:type="dxa"/>
            <w:tcBorders>
              <w:top w:val="nil"/>
              <w:left w:val="nil"/>
              <w:bottom w:val="nil"/>
              <w:right w:val="single" w:color="auto" w:sz="4" w:space="0"/>
            </w:tcBorders>
            <w:vAlign w:val="center"/>
          </w:tcPr>
          <w:p w14:paraId="580B2740">
            <w:pPr>
              <w:widowControl/>
              <w:jc w:val="center"/>
              <w:rPr>
                <w:rFonts w:ascii="宋体" w:hAnsi="宋体" w:cs="宋体"/>
                <w:kern w:val="0"/>
                <w:sz w:val="18"/>
                <w:szCs w:val="18"/>
                <w:highlight w:val="none"/>
              </w:rPr>
            </w:pPr>
            <w:r>
              <w:rPr>
                <w:rFonts w:hint="eastAsia" w:ascii="宋体" w:hAnsi="宋体" w:cs="宋体"/>
                <w:kern w:val="0"/>
                <w:sz w:val="18"/>
                <w:szCs w:val="18"/>
                <w:highlight w:val="none"/>
              </w:rPr>
              <w:t>人</w:t>
            </w:r>
          </w:p>
        </w:tc>
        <w:tc>
          <w:tcPr>
            <w:tcW w:w="1125" w:type="dxa"/>
            <w:tcBorders>
              <w:top w:val="nil"/>
              <w:left w:val="nil"/>
              <w:bottom w:val="nil"/>
              <w:right w:val="single" w:color="auto" w:sz="4" w:space="0"/>
            </w:tcBorders>
            <w:vAlign w:val="center"/>
          </w:tcPr>
          <w:p w14:paraId="596D2F94">
            <w:pPr>
              <w:widowControl/>
              <w:jc w:val="center"/>
              <w:rPr>
                <w:rFonts w:ascii="宋体" w:hAnsi="宋体" w:cs="宋体"/>
                <w:kern w:val="0"/>
                <w:sz w:val="18"/>
                <w:szCs w:val="18"/>
                <w:highlight w:val="none"/>
              </w:rPr>
            </w:pPr>
            <w:r>
              <w:rPr>
                <w:rFonts w:hint="eastAsia" w:ascii="宋体" w:hAnsi="宋体" w:cs="宋体"/>
                <w:kern w:val="0"/>
                <w:sz w:val="18"/>
                <w:szCs w:val="18"/>
                <w:highlight w:val="none"/>
              </w:rPr>
              <w:t>X≥2000</w:t>
            </w:r>
          </w:p>
        </w:tc>
        <w:tc>
          <w:tcPr>
            <w:tcW w:w="1701" w:type="dxa"/>
            <w:tcBorders>
              <w:top w:val="nil"/>
              <w:left w:val="nil"/>
              <w:bottom w:val="nil"/>
              <w:right w:val="single" w:color="auto" w:sz="4" w:space="0"/>
            </w:tcBorders>
            <w:vAlign w:val="center"/>
          </w:tcPr>
          <w:p w14:paraId="6449C313">
            <w:pPr>
              <w:widowControl/>
              <w:jc w:val="center"/>
              <w:rPr>
                <w:rFonts w:ascii="宋体" w:hAnsi="宋体" w:cs="宋体"/>
                <w:kern w:val="0"/>
                <w:sz w:val="18"/>
                <w:szCs w:val="18"/>
                <w:highlight w:val="none"/>
              </w:rPr>
            </w:pPr>
            <w:r>
              <w:rPr>
                <w:rFonts w:hint="eastAsia" w:ascii="宋体" w:hAnsi="宋体" w:cs="宋体"/>
                <w:kern w:val="0"/>
                <w:sz w:val="18"/>
                <w:szCs w:val="18"/>
                <w:highlight w:val="none"/>
              </w:rPr>
              <w:t>100≤X＜2000</w:t>
            </w:r>
          </w:p>
        </w:tc>
        <w:tc>
          <w:tcPr>
            <w:tcW w:w="1426" w:type="dxa"/>
            <w:tcBorders>
              <w:top w:val="nil"/>
              <w:left w:val="nil"/>
              <w:bottom w:val="nil"/>
              <w:right w:val="single" w:color="auto" w:sz="4" w:space="0"/>
            </w:tcBorders>
            <w:vAlign w:val="center"/>
          </w:tcPr>
          <w:p w14:paraId="29D10E31">
            <w:pPr>
              <w:widowControl/>
              <w:jc w:val="center"/>
              <w:rPr>
                <w:rFonts w:ascii="宋体" w:hAnsi="宋体" w:cs="宋体"/>
                <w:kern w:val="0"/>
                <w:sz w:val="18"/>
                <w:szCs w:val="18"/>
                <w:highlight w:val="none"/>
              </w:rPr>
            </w:pPr>
            <w:r>
              <w:rPr>
                <w:rFonts w:hint="eastAsia" w:ascii="宋体" w:hAnsi="宋体" w:cs="宋体"/>
                <w:kern w:val="0"/>
                <w:sz w:val="18"/>
                <w:szCs w:val="18"/>
                <w:highlight w:val="none"/>
              </w:rPr>
              <w:t xml:space="preserve"> 10≤X＜100</w:t>
            </w:r>
          </w:p>
        </w:tc>
        <w:tc>
          <w:tcPr>
            <w:tcW w:w="992" w:type="dxa"/>
            <w:tcBorders>
              <w:top w:val="nil"/>
              <w:left w:val="nil"/>
              <w:bottom w:val="nil"/>
              <w:right w:val="nil"/>
            </w:tcBorders>
            <w:vAlign w:val="center"/>
          </w:tcPr>
          <w:p w14:paraId="6F173828">
            <w:pPr>
              <w:widowControl/>
              <w:jc w:val="center"/>
              <w:rPr>
                <w:rFonts w:ascii="宋体" w:hAnsi="宋体" w:cs="宋体"/>
                <w:kern w:val="0"/>
                <w:sz w:val="18"/>
                <w:szCs w:val="18"/>
                <w:highlight w:val="none"/>
              </w:rPr>
            </w:pPr>
            <w:r>
              <w:rPr>
                <w:rFonts w:hint="eastAsia" w:ascii="宋体" w:hAnsi="宋体" w:cs="宋体"/>
                <w:kern w:val="0"/>
                <w:sz w:val="18"/>
                <w:szCs w:val="18"/>
                <w:highlight w:val="none"/>
              </w:rPr>
              <w:t>X＜10</w:t>
            </w:r>
          </w:p>
        </w:tc>
      </w:tr>
      <w:tr w14:paraId="570C65BC">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10F76373">
            <w:pPr>
              <w:widowControl/>
              <w:jc w:val="left"/>
              <w:rPr>
                <w:rFonts w:ascii="宋体" w:hAnsi="宋体" w:cs="宋体"/>
                <w:kern w:val="0"/>
                <w:sz w:val="18"/>
                <w:szCs w:val="18"/>
                <w:highlight w:val="none"/>
              </w:rPr>
            </w:pPr>
          </w:p>
        </w:tc>
        <w:tc>
          <w:tcPr>
            <w:tcW w:w="1369" w:type="dxa"/>
            <w:tcBorders>
              <w:top w:val="nil"/>
              <w:left w:val="nil"/>
              <w:bottom w:val="single" w:color="auto" w:sz="4" w:space="0"/>
              <w:right w:val="single" w:color="auto" w:sz="4" w:space="0"/>
            </w:tcBorders>
            <w:vAlign w:val="center"/>
          </w:tcPr>
          <w:p w14:paraId="3F62C2D7">
            <w:pPr>
              <w:widowControl/>
              <w:spacing w:line="240" w:lineRule="exact"/>
              <w:jc w:val="center"/>
              <w:rPr>
                <w:rFonts w:ascii="宋体" w:hAnsi="宋体" w:cs="宋体"/>
                <w:kern w:val="0"/>
                <w:sz w:val="18"/>
                <w:szCs w:val="18"/>
                <w:highlight w:val="none"/>
              </w:rPr>
            </w:pPr>
            <w:r>
              <w:rPr>
                <w:rFonts w:hint="eastAsia" w:ascii="宋体" w:hAnsi="宋体" w:cs="宋体"/>
                <w:kern w:val="0"/>
                <w:sz w:val="18"/>
                <w:szCs w:val="18"/>
                <w:highlight w:val="none"/>
              </w:rPr>
              <w:t>营业收入(Y)</w:t>
            </w:r>
          </w:p>
        </w:tc>
        <w:tc>
          <w:tcPr>
            <w:tcW w:w="709" w:type="dxa"/>
            <w:tcBorders>
              <w:top w:val="nil"/>
              <w:left w:val="nil"/>
              <w:bottom w:val="single" w:color="auto" w:sz="4" w:space="0"/>
              <w:right w:val="single" w:color="auto" w:sz="4" w:space="0"/>
            </w:tcBorders>
            <w:vAlign w:val="center"/>
          </w:tcPr>
          <w:p w14:paraId="63A0AFD4">
            <w:pPr>
              <w:widowControl/>
              <w:jc w:val="center"/>
              <w:rPr>
                <w:rFonts w:ascii="宋体" w:hAnsi="宋体" w:cs="宋体"/>
                <w:kern w:val="0"/>
                <w:sz w:val="18"/>
                <w:szCs w:val="18"/>
                <w:highlight w:val="none"/>
              </w:rPr>
            </w:pPr>
            <w:r>
              <w:rPr>
                <w:rFonts w:hint="eastAsia" w:ascii="宋体" w:hAnsi="宋体" w:cs="宋体"/>
                <w:kern w:val="0"/>
                <w:sz w:val="18"/>
                <w:szCs w:val="18"/>
                <w:highlight w:val="none"/>
              </w:rPr>
              <w:t>万元</w:t>
            </w:r>
          </w:p>
        </w:tc>
        <w:tc>
          <w:tcPr>
            <w:tcW w:w="1125" w:type="dxa"/>
            <w:tcBorders>
              <w:top w:val="nil"/>
              <w:left w:val="nil"/>
              <w:bottom w:val="single" w:color="auto" w:sz="4" w:space="0"/>
              <w:right w:val="single" w:color="auto" w:sz="4" w:space="0"/>
            </w:tcBorders>
            <w:vAlign w:val="center"/>
          </w:tcPr>
          <w:p w14:paraId="2572EFCC">
            <w:pPr>
              <w:widowControl/>
              <w:jc w:val="center"/>
              <w:rPr>
                <w:rFonts w:ascii="宋体" w:hAnsi="宋体" w:cs="宋体"/>
                <w:kern w:val="0"/>
                <w:sz w:val="18"/>
                <w:szCs w:val="18"/>
                <w:highlight w:val="none"/>
              </w:rPr>
            </w:pPr>
            <w:r>
              <w:rPr>
                <w:rFonts w:hint="eastAsia" w:ascii="宋体" w:hAnsi="宋体" w:cs="宋体"/>
                <w:kern w:val="0"/>
                <w:sz w:val="18"/>
                <w:szCs w:val="18"/>
                <w:highlight w:val="none"/>
              </w:rPr>
              <w:t>Y≥100000</w:t>
            </w:r>
          </w:p>
        </w:tc>
        <w:tc>
          <w:tcPr>
            <w:tcW w:w="1701" w:type="dxa"/>
            <w:tcBorders>
              <w:top w:val="nil"/>
              <w:left w:val="nil"/>
              <w:bottom w:val="single" w:color="auto" w:sz="4" w:space="0"/>
              <w:right w:val="single" w:color="auto" w:sz="4" w:space="0"/>
            </w:tcBorders>
            <w:vAlign w:val="center"/>
          </w:tcPr>
          <w:p w14:paraId="38C65BF7">
            <w:pPr>
              <w:widowControl/>
              <w:jc w:val="center"/>
              <w:rPr>
                <w:rFonts w:ascii="宋体" w:hAnsi="宋体" w:cs="宋体"/>
                <w:kern w:val="0"/>
                <w:sz w:val="18"/>
                <w:szCs w:val="18"/>
                <w:highlight w:val="none"/>
              </w:rPr>
            </w:pPr>
            <w:r>
              <w:rPr>
                <w:rFonts w:hint="eastAsia" w:ascii="宋体" w:hAnsi="宋体" w:cs="宋体"/>
                <w:kern w:val="0"/>
                <w:sz w:val="18"/>
                <w:szCs w:val="18"/>
                <w:highlight w:val="none"/>
              </w:rPr>
              <w:t xml:space="preserve"> 1000≤Y＜100000</w:t>
            </w:r>
          </w:p>
        </w:tc>
        <w:tc>
          <w:tcPr>
            <w:tcW w:w="1426" w:type="dxa"/>
            <w:tcBorders>
              <w:top w:val="nil"/>
              <w:left w:val="nil"/>
              <w:bottom w:val="single" w:color="auto" w:sz="4" w:space="0"/>
              <w:right w:val="single" w:color="auto" w:sz="4" w:space="0"/>
            </w:tcBorders>
            <w:vAlign w:val="center"/>
          </w:tcPr>
          <w:p w14:paraId="4A871159">
            <w:pPr>
              <w:widowControl/>
              <w:jc w:val="center"/>
              <w:rPr>
                <w:rFonts w:ascii="宋体" w:hAnsi="宋体" w:cs="宋体"/>
                <w:kern w:val="0"/>
                <w:sz w:val="18"/>
                <w:szCs w:val="18"/>
                <w:highlight w:val="none"/>
              </w:rPr>
            </w:pPr>
            <w:r>
              <w:rPr>
                <w:rFonts w:hint="eastAsia" w:ascii="宋体" w:hAnsi="宋体" w:cs="宋体"/>
                <w:kern w:val="0"/>
                <w:sz w:val="18"/>
                <w:szCs w:val="18"/>
                <w:highlight w:val="none"/>
              </w:rPr>
              <w:t xml:space="preserve"> 100≤Y＜1000</w:t>
            </w:r>
          </w:p>
        </w:tc>
        <w:tc>
          <w:tcPr>
            <w:tcW w:w="992" w:type="dxa"/>
            <w:tcBorders>
              <w:top w:val="nil"/>
              <w:left w:val="nil"/>
              <w:bottom w:val="single" w:color="auto" w:sz="4" w:space="0"/>
              <w:right w:val="nil"/>
            </w:tcBorders>
            <w:vAlign w:val="center"/>
          </w:tcPr>
          <w:p w14:paraId="066E82D0">
            <w:pPr>
              <w:widowControl/>
              <w:jc w:val="center"/>
              <w:rPr>
                <w:rFonts w:ascii="宋体" w:hAnsi="宋体" w:cs="宋体"/>
                <w:kern w:val="0"/>
                <w:sz w:val="18"/>
                <w:szCs w:val="18"/>
                <w:highlight w:val="none"/>
              </w:rPr>
            </w:pPr>
            <w:r>
              <w:rPr>
                <w:rFonts w:hint="eastAsia" w:ascii="宋体" w:hAnsi="宋体" w:cs="宋体"/>
                <w:kern w:val="0"/>
                <w:sz w:val="18"/>
                <w:szCs w:val="18"/>
                <w:highlight w:val="none"/>
              </w:rPr>
              <w:t>Y＜100</w:t>
            </w:r>
          </w:p>
        </w:tc>
      </w:tr>
      <w:tr w14:paraId="725431F8">
        <w:tblPrEx>
          <w:tblCellMar>
            <w:top w:w="0" w:type="dxa"/>
            <w:left w:w="108" w:type="dxa"/>
            <w:bottom w:w="0" w:type="dxa"/>
            <w:right w:w="108" w:type="dxa"/>
          </w:tblCellMar>
        </w:tblPrEx>
        <w:trPr>
          <w:trHeight w:val="340" w:hRule="exact"/>
          <w:jc w:val="center"/>
        </w:trPr>
        <w:tc>
          <w:tcPr>
            <w:tcW w:w="2113" w:type="dxa"/>
            <w:vMerge w:val="restart"/>
            <w:tcBorders>
              <w:top w:val="single" w:color="auto" w:sz="4" w:space="0"/>
              <w:left w:val="nil"/>
              <w:bottom w:val="single" w:color="auto" w:sz="4" w:space="0"/>
              <w:right w:val="single" w:color="auto" w:sz="4" w:space="0"/>
            </w:tcBorders>
            <w:vAlign w:val="center"/>
          </w:tcPr>
          <w:p w14:paraId="20B538C0">
            <w:pPr>
              <w:widowControl/>
              <w:spacing w:line="240" w:lineRule="exact"/>
              <w:jc w:val="left"/>
              <w:rPr>
                <w:rFonts w:ascii="宋体" w:hAnsi="宋体" w:cs="宋体"/>
                <w:spacing w:val="-12"/>
                <w:kern w:val="0"/>
                <w:sz w:val="18"/>
                <w:szCs w:val="18"/>
                <w:highlight w:val="none"/>
              </w:rPr>
            </w:pPr>
            <w:r>
              <w:rPr>
                <w:rFonts w:hint="eastAsia" w:ascii="宋体" w:hAnsi="宋体" w:cs="宋体"/>
                <w:spacing w:val="-12"/>
                <w:kern w:val="0"/>
                <w:sz w:val="18"/>
                <w:szCs w:val="18"/>
                <w:highlight w:val="none"/>
              </w:rPr>
              <w:t>软件和信息技术服</w:t>
            </w:r>
            <w:r>
              <w:rPr>
                <w:rFonts w:hint="eastAsia" w:ascii="宋体" w:hAnsi="宋体" w:cs="宋体"/>
                <w:kern w:val="0"/>
                <w:sz w:val="18"/>
                <w:szCs w:val="18"/>
                <w:highlight w:val="none"/>
              </w:rPr>
              <w:t>务业</w:t>
            </w:r>
          </w:p>
        </w:tc>
        <w:tc>
          <w:tcPr>
            <w:tcW w:w="1369" w:type="dxa"/>
            <w:tcBorders>
              <w:top w:val="nil"/>
              <w:left w:val="nil"/>
              <w:bottom w:val="nil"/>
              <w:right w:val="single" w:color="auto" w:sz="4" w:space="0"/>
            </w:tcBorders>
            <w:vAlign w:val="center"/>
          </w:tcPr>
          <w:p w14:paraId="74EA767A">
            <w:pPr>
              <w:widowControl/>
              <w:jc w:val="center"/>
              <w:rPr>
                <w:rFonts w:ascii="宋体" w:hAnsi="宋体" w:cs="宋体"/>
                <w:kern w:val="0"/>
                <w:sz w:val="18"/>
                <w:szCs w:val="18"/>
                <w:highlight w:val="none"/>
              </w:rPr>
            </w:pPr>
            <w:r>
              <w:rPr>
                <w:rFonts w:hint="eastAsia" w:ascii="宋体" w:hAnsi="宋体" w:cs="宋体"/>
                <w:kern w:val="0"/>
                <w:sz w:val="18"/>
                <w:szCs w:val="18"/>
                <w:highlight w:val="none"/>
              </w:rPr>
              <w:t>从业人员(X)</w:t>
            </w:r>
          </w:p>
        </w:tc>
        <w:tc>
          <w:tcPr>
            <w:tcW w:w="709" w:type="dxa"/>
            <w:tcBorders>
              <w:top w:val="nil"/>
              <w:left w:val="nil"/>
              <w:bottom w:val="nil"/>
              <w:right w:val="single" w:color="auto" w:sz="4" w:space="0"/>
            </w:tcBorders>
            <w:vAlign w:val="center"/>
          </w:tcPr>
          <w:p w14:paraId="7CF80BA7">
            <w:pPr>
              <w:widowControl/>
              <w:jc w:val="center"/>
              <w:rPr>
                <w:rFonts w:ascii="宋体" w:hAnsi="宋体" w:cs="宋体"/>
                <w:kern w:val="0"/>
                <w:sz w:val="18"/>
                <w:szCs w:val="18"/>
                <w:highlight w:val="none"/>
              </w:rPr>
            </w:pPr>
            <w:r>
              <w:rPr>
                <w:rFonts w:hint="eastAsia" w:ascii="宋体" w:hAnsi="宋体" w:cs="宋体"/>
                <w:kern w:val="0"/>
                <w:sz w:val="18"/>
                <w:szCs w:val="18"/>
                <w:highlight w:val="none"/>
              </w:rPr>
              <w:t>人</w:t>
            </w:r>
          </w:p>
        </w:tc>
        <w:tc>
          <w:tcPr>
            <w:tcW w:w="1125" w:type="dxa"/>
            <w:tcBorders>
              <w:top w:val="nil"/>
              <w:left w:val="nil"/>
              <w:bottom w:val="nil"/>
              <w:right w:val="single" w:color="auto" w:sz="4" w:space="0"/>
            </w:tcBorders>
            <w:vAlign w:val="center"/>
          </w:tcPr>
          <w:p w14:paraId="4F42B48D">
            <w:pPr>
              <w:widowControl/>
              <w:jc w:val="center"/>
              <w:rPr>
                <w:rFonts w:ascii="宋体" w:hAnsi="宋体" w:cs="宋体"/>
                <w:kern w:val="0"/>
                <w:sz w:val="18"/>
                <w:szCs w:val="18"/>
                <w:highlight w:val="none"/>
              </w:rPr>
            </w:pPr>
            <w:r>
              <w:rPr>
                <w:rFonts w:hint="eastAsia" w:ascii="宋体" w:hAnsi="宋体" w:cs="宋体"/>
                <w:kern w:val="0"/>
                <w:sz w:val="18"/>
                <w:szCs w:val="18"/>
                <w:highlight w:val="none"/>
              </w:rPr>
              <w:t>X≥300</w:t>
            </w:r>
          </w:p>
        </w:tc>
        <w:tc>
          <w:tcPr>
            <w:tcW w:w="1701" w:type="dxa"/>
            <w:tcBorders>
              <w:top w:val="nil"/>
              <w:left w:val="nil"/>
              <w:bottom w:val="nil"/>
              <w:right w:val="single" w:color="auto" w:sz="4" w:space="0"/>
            </w:tcBorders>
            <w:vAlign w:val="center"/>
          </w:tcPr>
          <w:p w14:paraId="69076E76">
            <w:pPr>
              <w:widowControl/>
              <w:ind w:left="1" w:leftChars="-51" w:hanging="108" w:hangingChars="60"/>
              <w:jc w:val="center"/>
              <w:rPr>
                <w:rFonts w:ascii="宋体" w:hAnsi="宋体" w:cs="宋体"/>
                <w:kern w:val="0"/>
                <w:sz w:val="18"/>
                <w:szCs w:val="18"/>
                <w:highlight w:val="none"/>
              </w:rPr>
            </w:pPr>
            <w:r>
              <w:rPr>
                <w:rFonts w:hint="eastAsia" w:ascii="宋体" w:hAnsi="宋体" w:cs="宋体"/>
                <w:kern w:val="0"/>
                <w:sz w:val="18"/>
                <w:szCs w:val="18"/>
                <w:highlight w:val="none"/>
              </w:rPr>
              <w:t xml:space="preserve">100≤X＜300 </w:t>
            </w:r>
          </w:p>
        </w:tc>
        <w:tc>
          <w:tcPr>
            <w:tcW w:w="1426" w:type="dxa"/>
            <w:tcBorders>
              <w:top w:val="nil"/>
              <w:left w:val="nil"/>
              <w:bottom w:val="nil"/>
              <w:right w:val="single" w:color="auto" w:sz="4" w:space="0"/>
            </w:tcBorders>
            <w:vAlign w:val="center"/>
          </w:tcPr>
          <w:p w14:paraId="3C6A95D9">
            <w:pPr>
              <w:widowControl/>
              <w:jc w:val="center"/>
              <w:rPr>
                <w:rFonts w:ascii="宋体" w:hAnsi="宋体" w:cs="宋体"/>
                <w:kern w:val="0"/>
                <w:sz w:val="18"/>
                <w:szCs w:val="18"/>
                <w:highlight w:val="none"/>
              </w:rPr>
            </w:pPr>
            <w:r>
              <w:rPr>
                <w:rFonts w:hint="eastAsia" w:ascii="宋体" w:hAnsi="宋体" w:cs="宋体"/>
                <w:kern w:val="0"/>
                <w:sz w:val="18"/>
                <w:szCs w:val="18"/>
                <w:highlight w:val="none"/>
              </w:rPr>
              <w:t xml:space="preserve"> 10≤X＜100</w:t>
            </w:r>
          </w:p>
        </w:tc>
        <w:tc>
          <w:tcPr>
            <w:tcW w:w="992" w:type="dxa"/>
            <w:tcBorders>
              <w:top w:val="nil"/>
              <w:left w:val="nil"/>
              <w:bottom w:val="nil"/>
              <w:right w:val="nil"/>
            </w:tcBorders>
            <w:vAlign w:val="center"/>
          </w:tcPr>
          <w:p w14:paraId="1B1F5F71">
            <w:pPr>
              <w:widowControl/>
              <w:jc w:val="center"/>
              <w:rPr>
                <w:rFonts w:ascii="宋体" w:hAnsi="宋体" w:cs="宋体"/>
                <w:kern w:val="0"/>
                <w:sz w:val="18"/>
                <w:szCs w:val="18"/>
                <w:highlight w:val="none"/>
              </w:rPr>
            </w:pPr>
            <w:r>
              <w:rPr>
                <w:rFonts w:hint="eastAsia" w:ascii="宋体" w:hAnsi="宋体" w:cs="宋体"/>
                <w:kern w:val="0"/>
                <w:sz w:val="18"/>
                <w:szCs w:val="18"/>
                <w:highlight w:val="none"/>
              </w:rPr>
              <w:t>X＜10</w:t>
            </w:r>
          </w:p>
        </w:tc>
      </w:tr>
      <w:tr w14:paraId="6F3487B3">
        <w:tblPrEx>
          <w:tblCellMar>
            <w:top w:w="0" w:type="dxa"/>
            <w:left w:w="108" w:type="dxa"/>
            <w:bottom w:w="0" w:type="dxa"/>
            <w:right w:w="108" w:type="dxa"/>
          </w:tblCellMar>
        </w:tblPrEx>
        <w:trPr>
          <w:trHeight w:val="340" w:hRule="exact"/>
          <w:jc w:val="center"/>
        </w:trPr>
        <w:tc>
          <w:tcPr>
            <w:tcW w:w="2113" w:type="dxa"/>
            <w:vMerge w:val="continue"/>
            <w:tcBorders>
              <w:top w:val="single" w:color="auto" w:sz="4" w:space="0"/>
              <w:left w:val="nil"/>
              <w:bottom w:val="single" w:color="auto" w:sz="4" w:space="0"/>
              <w:right w:val="single" w:color="auto" w:sz="4" w:space="0"/>
            </w:tcBorders>
            <w:vAlign w:val="center"/>
          </w:tcPr>
          <w:p w14:paraId="4BA4FEE1">
            <w:pPr>
              <w:widowControl/>
              <w:jc w:val="left"/>
              <w:rPr>
                <w:rFonts w:ascii="宋体" w:hAnsi="宋体" w:cs="宋体"/>
                <w:spacing w:val="-12"/>
                <w:kern w:val="0"/>
                <w:sz w:val="18"/>
                <w:szCs w:val="18"/>
                <w:highlight w:val="none"/>
              </w:rPr>
            </w:pPr>
          </w:p>
        </w:tc>
        <w:tc>
          <w:tcPr>
            <w:tcW w:w="1369" w:type="dxa"/>
            <w:tcBorders>
              <w:top w:val="nil"/>
              <w:left w:val="nil"/>
              <w:bottom w:val="single" w:color="auto" w:sz="4" w:space="0"/>
              <w:right w:val="single" w:color="auto" w:sz="4" w:space="0"/>
            </w:tcBorders>
            <w:vAlign w:val="center"/>
          </w:tcPr>
          <w:p w14:paraId="0A973709">
            <w:pPr>
              <w:widowControl/>
              <w:jc w:val="center"/>
              <w:rPr>
                <w:rFonts w:ascii="宋体" w:hAnsi="宋体" w:cs="宋体"/>
                <w:kern w:val="0"/>
                <w:sz w:val="18"/>
                <w:szCs w:val="18"/>
                <w:highlight w:val="none"/>
              </w:rPr>
            </w:pPr>
            <w:r>
              <w:rPr>
                <w:rFonts w:hint="eastAsia" w:ascii="宋体" w:hAnsi="宋体" w:cs="宋体"/>
                <w:kern w:val="0"/>
                <w:sz w:val="18"/>
                <w:szCs w:val="18"/>
                <w:highlight w:val="none"/>
              </w:rPr>
              <w:t>营业收入(Y)</w:t>
            </w:r>
          </w:p>
        </w:tc>
        <w:tc>
          <w:tcPr>
            <w:tcW w:w="709" w:type="dxa"/>
            <w:tcBorders>
              <w:top w:val="nil"/>
              <w:left w:val="nil"/>
              <w:bottom w:val="single" w:color="auto" w:sz="4" w:space="0"/>
              <w:right w:val="single" w:color="auto" w:sz="4" w:space="0"/>
            </w:tcBorders>
            <w:vAlign w:val="center"/>
          </w:tcPr>
          <w:p w14:paraId="47DAA83A">
            <w:pPr>
              <w:widowControl/>
              <w:jc w:val="center"/>
              <w:rPr>
                <w:rFonts w:ascii="宋体" w:hAnsi="宋体" w:cs="宋体"/>
                <w:kern w:val="0"/>
                <w:sz w:val="18"/>
                <w:szCs w:val="18"/>
                <w:highlight w:val="none"/>
              </w:rPr>
            </w:pPr>
            <w:r>
              <w:rPr>
                <w:rFonts w:hint="eastAsia" w:ascii="宋体" w:hAnsi="宋体" w:cs="宋体"/>
                <w:kern w:val="0"/>
                <w:sz w:val="18"/>
                <w:szCs w:val="18"/>
                <w:highlight w:val="none"/>
              </w:rPr>
              <w:t>万元</w:t>
            </w:r>
          </w:p>
        </w:tc>
        <w:tc>
          <w:tcPr>
            <w:tcW w:w="1125" w:type="dxa"/>
            <w:tcBorders>
              <w:top w:val="nil"/>
              <w:left w:val="nil"/>
              <w:bottom w:val="single" w:color="auto" w:sz="4" w:space="0"/>
              <w:right w:val="single" w:color="auto" w:sz="4" w:space="0"/>
            </w:tcBorders>
            <w:vAlign w:val="center"/>
          </w:tcPr>
          <w:p w14:paraId="7B832DF8">
            <w:pPr>
              <w:widowControl/>
              <w:jc w:val="center"/>
              <w:rPr>
                <w:rFonts w:ascii="宋体" w:hAnsi="宋体" w:cs="宋体"/>
                <w:kern w:val="0"/>
                <w:sz w:val="18"/>
                <w:szCs w:val="18"/>
                <w:highlight w:val="none"/>
              </w:rPr>
            </w:pPr>
            <w:r>
              <w:rPr>
                <w:rFonts w:hint="eastAsia" w:ascii="宋体" w:hAnsi="宋体" w:cs="宋体"/>
                <w:kern w:val="0"/>
                <w:sz w:val="18"/>
                <w:szCs w:val="18"/>
                <w:highlight w:val="none"/>
              </w:rPr>
              <w:t>Y≥10000</w:t>
            </w:r>
          </w:p>
        </w:tc>
        <w:tc>
          <w:tcPr>
            <w:tcW w:w="1701" w:type="dxa"/>
            <w:tcBorders>
              <w:top w:val="nil"/>
              <w:left w:val="nil"/>
              <w:bottom w:val="single" w:color="auto" w:sz="4" w:space="0"/>
              <w:right w:val="single" w:color="auto" w:sz="4" w:space="0"/>
            </w:tcBorders>
            <w:vAlign w:val="center"/>
          </w:tcPr>
          <w:p w14:paraId="0E02DF3D">
            <w:pPr>
              <w:widowControl/>
              <w:jc w:val="center"/>
              <w:rPr>
                <w:rFonts w:ascii="宋体" w:hAnsi="宋体" w:cs="宋体"/>
                <w:kern w:val="0"/>
                <w:sz w:val="18"/>
                <w:szCs w:val="18"/>
                <w:highlight w:val="none"/>
              </w:rPr>
            </w:pPr>
            <w:r>
              <w:rPr>
                <w:rFonts w:hint="eastAsia" w:ascii="宋体" w:hAnsi="宋体" w:cs="宋体"/>
                <w:kern w:val="0"/>
                <w:sz w:val="18"/>
                <w:szCs w:val="18"/>
                <w:highlight w:val="none"/>
              </w:rPr>
              <w:t>1000≤Y＜10000</w:t>
            </w:r>
          </w:p>
        </w:tc>
        <w:tc>
          <w:tcPr>
            <w:tcW w:w="1426" w:type="dxa"/>
            <w:tcBorders>
              <w:top w:val="nil"/>
              <w:left w:val="nil"/>
              <w:bottom w:val="single" w:color="auto" w:sz="4" w:space="0"/>
              <w:right w:val="single" w:color="auto" w:sz="4" w:space="0"/>
            </w:tcBorders>
            <w:vAlign w:val="center"/>
          </w:tcPr>
          <w:p w14:paraId="28496721">
            <w:pPr>
              <w:widowControl/>
              <w:jc w:val="center"/>
              <w:rPr>
                <w:rFonts w:ascii="宋体" w:hAnsi="宋体" w:cs="宋体"/>
                <w:kern w:val="0"/>
                <w:sz w:val="18"/>
                <w:szCs w:val="18"/>
                <w:highlight w:val="none"/>
              </w:rPr>
            </w:pPr>
            <w:r>
              <w:rPr>
                <w:rFonts w:hint="eastAsia" w:ascii="宋体" w:hAnsi="宋体" w:cs="宋体"/>
                <w:kern w:val="0"/>
                <w:sz w:val="18"/>
                <w:szCs w:val="18"/>
                <w:highlight w:val="none"/>
              </w:rPr>
              <w:t xml:space="preserve">  50≤Y＜1000</w:t>
            </w:r>
          </w:p>
        </w:tc>
        <w:tc>
          <w:tcPr>
            <w:tcW w:w="992" w:type="dxa"/>
            <w:tcBorders>
              <w:top w:val="nil"/>
              <w:left w:val="nil"/>
              <w:bottom w:val="single" w:color="auto" w:sz="4" w:space="0"/>
              <w:right w:val="nil"/>
            </w:tcBorders>
            <w:vAlign w:val="center"/>
          </w:tcPr>
          <w:p w14:paraId="7EB6026A">
            <w:pPr>
              <w:widowControl/>
              <w:jc w:val="center"/>
              <w:rPr>
                <w:rFonts w:ascii="宋体" w:hAnsi="宋体" w:cs="宋体"/>
                <w:kern w:val="0"/>
                <w:sz w:val="18"/>
                <w:szCs w:val="18"/>
                <w:highlight w:val="none"/>
              </w:rPr>
            </w:pPr>
            <w:r>
              <w:rPr>
                <w:rFonts w:hint="eastAsia" w:ascii="宋体" w:hAnsi="宋体" w:cs="宋体"/>
                <w:kern w:val="0"/>
                <w:sz w:val="18"/>
                <w:szCs w:val="18"/>
                <w:highlight w:val="none"/>
              </w:rPr>
              <w:t>Y＜50</w:t>
            </w:r>
          </w:p>
        </w:tc>
      </w:tr>
      <w:tr w14:paraId="424D572B">
        <w:tblPrEx>
          <w:tblCellMar>
            <w:top w:w="0" w:type="dxa"/>
            <w:left w:w="108" w:type="dxa"/>
            <w:bottom w:w="0" w:type="dxa"/>
            <w:right w:w="108" w:type="dxa"/>
          </w:tblCellMar>
        </w:tblPrEx>
        <w:trPr>
          <w:trHeight w:val="340" w:hRule="exact"/>
          <w:jc w:val="center"/>
        </w:trPr>
        <w:tc>
          <w:tcPr>
            <w:tcW w:w="2113" w:type="dxa"/>
            <w:vMerge w:val="restart"/>
            <w:tcBorders>
              <w:top w:val="nil"/>
              <w:left w:val="nil"/>
              <w:bottom w:val="single" w:color="auto" w:sz="4" w:space="0"/>
              <w:right w:val="single" w:color="auto" w:sz="4" w:space="0"/>
            </w:tcBorders>
            <w:vAlign w:val="center"/>
          </w:tcPr>
          <w:p w14:paraId="6F243B4B">
            <w:pPr>
              <w:widowControl/>
              <w:spacing w:line="240" w:lineRule="exact"/>
              <w:jc w:val="left"/>
              <w:rPr>
                <w:rFonts w:ascii="宋体" w:hAnsi="宋体" w:cs="宋体"/>
                <w:kern w:val="0"/>
                <w:sz w:val="18"/>
                <w:szCs w:val="18"/>
                <w:highlight w:val="none"/>
              </w:rPr>
            </w:pPr>
            <w:r>
              <w:rPr>
                <w:rFonts w:hint="eastAsia" w:ascii="宋体" w:hAnsi="宋体" w:cs="宋体"/>
                <w:kern w:val="0"/>
                <w:sz w:val="18"/>
                <w:szCs w:val="18"/>
                <w:highlight w:val="none"/>
              </w:rPr>
              <w:t>房地产开发经营</w:t>
            </w:r>
          </w:p>
        </w:tc>
        <w:tc>
          <w:tcPr>
            <w:tcW w:w="1369" w:type="dxa"/>
            <w:tcBorders>
              <w:top w:val="nil"/>
              <w:left w:val="nil"/>
              <w:bottom w:val="nil"/>
              <w:right w:val="single" w:color="auto" w:sz="4" w:space="0"/>
            </w:tcBorders>
            <w:vAlign w:val="center"/>
          </w:tcPr>
          <w:p w14:paraId="7F5F0424">
            <w:pPr>
              <w:widowControl/>
              <w:jc w:val="center"/>
              <w:rPr>
                <w:rFonts w:ascii="宋体" w:hAnsi="宋体" w:cs="宋体"/>
                <w:kern w:val="0"/>
                <w:sz w:val="18"/>
                <w:szCs w:val="18"/>
                <w:highlight w:val="none"/>
              </w:rPr>
            </w:pPr>
            <w:r>
              <w:rPr>
                <w:rFonts w:hint="eastAsia" w:ascii="宋体" w:hAnsi="宋体" w:cs="宋体"/>
                <w:kern w:val="0"/>
                <w:sz w:val="18"/>
                <w:szCs w:val="18"/>
                <w:highlight w:val="none"/>
              </w:rPr>
              <w:t>营业收入(Y)</w:t>
            </w:r>
          </w:p>
        </w:tc>
        <w:tc>
          <w:tcPr>
            <w:tcW w:w="709" w:type="dxa"/>
            <w:tcBorders>
              <w:top w:val="nil"/>
              <w:left w:val="nil"/>
              <w:bottom w:val="nil"/>
              <w:right w:val="single" w:color="auto" w:sz="4" w:space="0"/>
            </w:tcBorders>
            <w:vAlign w:val="center"/>
          </w:tcPr>
          <w:p w14:paraId="63071607">
            <w:pPr>
              <w:widowControl/>
              <w:jc w:val="center"/>
              <w:rPr>
                <w:rFonts w:ascii="宋体" w:hAnsi="宋体" w:cs="宋体"/>
                <w:kern w:val="0"/>
                <w:sz w:val="18"/>
                <w:szCs w:val="18"/>
                <w:highlight w:val="none"/>
              </w:rPr>
            </w:pPr>
            <w:r>
              <w:rPr>
                <w:rFonts w:hint="eastAsia" w:ascii="宋体" w:hAnsi="宋体" w:cs="宋体"/>
                <w:kern w:val="0"/>
                <w:sz w:val="18"/>
                <w:szCs w:val="18"/>
                <w:highlight w:val="none"/>
              </w:rPr>
              <w:t>万元</w:t>
            </w:r>
          </w:p>
        </w:tc>
        <w:tc>
          <w:tcPr>
            <w:tcW w:w="1125" w:type="dxa"/>
            <w:tcBorders>
              <w:top w:val="nil"/>
              <w:left w:val="nil"/>
              <w:bottom w:val="nil"/>
              <w:right w:val="single" w:color="auto" w:sz="4" w:space="0"/>
            </w:tcBorders>
            <w:vAlign w:val="center"/>
          </w:tcPr>
          <w:p w14:paraId="3174B722">
            <w:pPr>
              <w:widowControl/>
              <w:jc w:val="center"/>
              <w:rPr>
                <w:rFonts w:ascii="宋体" w:hAnsi="宋体" w:cs="宋体"/>
                <w:kern w:val="0"/>
                <w:sz w:val="18"/>
                <w:szCs w:val="18"/>
                <w:highlight w:val="none"/>
              </w:rPr>
            </w:pPr>
            <w:r>
              <w:rPr>
                <w:rFonts w:hint="eastAsia" w:ascii="宋体" w:hAnsi="宋体" w:cs="宋体"/>
                <w:kern w:val="0"/>
                <w:sz w:val="18"/>
                <w:szCs w:val="18"/>
                <w:highlight w:val="none"/>
              </w:rPr>
              <w:t>Y≥200000</w:t>
            </w:r>
          </w:p>
        </w:tc>
        <w:tc>
          <w:tcPr>
            <w:tcW w:w="1701" w:type="dxa"/>
            <w:tcBorders>
              <w:top w:val="nil"/>
              <w:left w:val="nil"/>
              <w:bottom w:val="nil"/>
              <w:right w:val="single" w:color="auto" w:sz="4" w:space="0"/>
            </w:tcBorders>
            <w:vAlign w:val="center"/>
          </w:tcPr>
          <w:p w14:paraId="311EC57C">
            <w:pPr>
              <w:widowControl/>
              <w:jc w:val="center"/>
              <w:rPr>
                <w:rFonts w:ascii="宋体" w:hAnsi="宋体" w:cs="宋体"/>
                <w:kern w:val="0"/>
                <w:sz w:val="18"/>
                <w:szCs w:val="18"/>
                <w:highlight w:val="none"/>
              </w:rPr>
            </w:pPr>
            <w:r>
              <w:rPr>
                <w:rFonts w:hint="eastAsia" w:ascii="宋体" w:hAnsi="宋体" w:cs="宋体"/>
                <w:kern w:val="0"/>
                <w:sz w:val="18"/>
                <w:szCs w:val="18"/>
                <w:highlight w:val="none"/>
              </w:rPr>
              <w:t xml:space="preserve"> 1000≤Y＜200000</w:t>
            </w:r>
          </w:p>
        </w:tc>
        <w:tc>
          <w:tcPr>
            <w:tcW w:w="1426" w:type="dxa"/>
            <w:tcBorders>
              <w:top w:val="nil"/>
              <w:left w:val="nil"/>
              <w:bottom w:val="nil"/>
              <w:right w:val="single" w:color="auto" w:sz="4" w:space="0"/>
            </w:tcBorders>
            <w:vAlign w:val="center"/>
          </w:tcPr>
          <w:p w14:paraId="621FC56C">
            <w:pPr>
              <w:widowControl/>
              <w:jc w:val="center"/>
              <w:rPr>
                <w:rFonts w:ascii="宋体" w:hAnsi="宋体" w:cs="宋体"/>
                <w:kern w:val="0"/>
                <w:sz w:val="18"/>
                <w:szCs w:val="18"/>
                <w:highlight w:val="none"/>
              </w:rPr>
            </w:pPr>
            <w:r>
              <w:rPr>
                <w:rFonts w:hint="eastAsia" w:ascii="宋体" w:hAnsi="宋体" w:cs="宋体"/>
                <w:kern w:val="0"/>
                <w:sz w:val="18"/>
                <w:szCs w:val="18"/>
                <w:highlight w:val="none"/>
              </w:rPr>
              <w:t xml:space="preserve"> 100≤Y＜1000</w:t>
            </w:r>
          </w:p>
        </w:tc>
        <w:tc>
          <w:tcPr>
            <w:tcW w:w="992" w:type="dxa"/>
            <w:tcBorders>
              <w:top w:val="nil"/>
              <w:left w:val="nil"/>
              <w:bottom w:val="nil"/>
              <w:right w:val="nil"/>
            </w:tcBorders>
            <w:vAlign w:val="center"/>
          </w:tcPr>
          <w:p w14:paraId="2661CB8F">
            <w:pPr>
              <w:widowControl/>
              <w:jc w:val="center"/>
              <w:rPr>
                <w:rFonts w:ascii="宋体" w:hAnsi="宋体" w:cs="宋体"/>
                <w:kern w:val="0"/>
                <w:sz w:val="18"/>
                <w:szCs w:val="18"/>
                <w:highlight w:val="none"/>
              </w:rPr>
            </w:pPr>
            <w:r>
              <w:rPr>
                <w:rFonts w:hint="eastAsia" w:ascii="宋体" w:hAnsi="宋体" w:cs="宋体"/>
                <w:kern w:val="0"/>
                <w:sz w:val="18"/>
                <w:szCs w:val="18"/>
                <w:highlight w:val="none"/>
              </w:rPr>
              <w:t>Y＜100</w:t>
            </w:r>
          </w:p>
        </w:tc>
      </w:tr>
      <w:tr w14:paraId="6490ED2A">
        <w:tblPrEx>
          <w:tblCellMar>
            <w:top w:w="0" w:type="dxa"/>
            <w:left w:w="108" w:type="dxa"/>
            <w:bottom w:w="0" w:type="dxa"/>
            <w:right w:w="108" w:type="dxa"/>
          </w:tblCellMar>
        </w:tblPrEx>
        <w:trPr>
          <w:trHeight w:val="340" w:hRule="exact"/>
          <w:jc w:val="center"/>
        </w:trPr>
        <w:tc>
          <w:tcPr>
            <w:tcW w:w="2113" w:type="dxa"/>
            <w:vMerge w:val="continue"/>
            <w:tcBorders>
              <w:top w:val="nil"/>
              <w:left w:val="nil"/>
              <w:bottom w:val="single" w:color="auto" w:sz="4" w:space="0"/>
              <w:right w:val="single" w:color="auto" w:sz="4" w:space="0"/>
            </w:tcBorders>
            <w:vAlign w:val="center"/>
          </w:tcPr>
          <w:p w14:paraId="7C5F5F76">
            <w:pPr>
              <w:widowControl/>
              <w:jc w:val="left"/>
              <w:rPr>
                <w:rFonts w:ascii="宋体" w:hAnsi="宋体" w:cs="宋体"/>
                <w:kern w:val="0"/>
                <w:sz w:val="18"/>
                <w:szCs w:val="18"/>
                <w:highlight w:val="none"/>
              </w:rPr>
            </w:pPr>
          </w:p>
        </w:tc>
        <w:tc>
          <w:tcPr>
            <w:tcW w:w="1369" w:type="dxa"/>
            <w:tcBorders>
              <w:top w:val="nil"/>
              <w:left w:val="nil"/>
              <w:bottom w:val="single" w:color="auto" w:sz="4" w:space="0"/>
              <w:right w:val="single" w:color="auto" w:sz="4" w:space="0"/>
            </w:tcBorders>
            <w:vAlign w:val="center"/>
          </w:tcPr>
          <w:p w14:paraId="75D23DE6">
            <w:pPr>
              <w:widowControl/>
              <w:spacing w:line="240" w:lineRule="exact"/>
              <w:jc w:val="center"/>
              <w:rPr>
                <w:rFonts w:ascii="宋体" w:hAnsi="宋体" w:cs="宋体"/>
                <w:kern w:val="0"/>
                <w:sz w:val="18"/>
                <w:szCs w:val="18"/>
                <w:highlight w:val="none"/>
              </w:rPr>
            </w:pPr>
            <w:r>
              <w:rPr>
                <w:rFonts w:hint="eastAsia" w:ascii="宋体" w:hAnsi="宋体" w:cs="宋体"/>
                <w:kern w:val="0"/>
                <w:sz w:val="18"/>
                <w:szCs w:val="18"/>
                <w:highlight w:val="none"/>
              </w:rPr>
              <w:t>资产总额(Z)</w:t>
            </w:r>
          </w:p>
        </w:tc>
        <w:tc>
          <w:tcPr>
            <w:tcW w:w="709" w:type="dxa"/>
            <w:tcBorders>
              <w:top w:val="nil"/>
              <w:left w:val="nil"/>
              <w:bottom w:val="single" w:color="auto" w:sz="4" w:space="0"/>
              <w:right w:val="single" w:color="auto" w:sz="4" w:space="0"/>
            </w:tcBorders>
            <w:vAlign w:val="center"/>
          </w:tcPr>
          <w:p w14:paraId="5C876D94">
            <w:pPr>
              <w:widowControl/>
              <w:jc w:val="center"/>
              <w:rPr>
                <w:rFonts w:ascii="宋体" w:hAnsi="宋体" w:cs="宋体"/>
                <w:kern w:val="0"/>
                <w:sz w:val="18"/>
                <w:szCs w:val="18"/>
                <w:highlight w:val="none"/>
              </w:rPr>
            </w:pPr>
            <w:r>
              <w:rPr>
                <w:rFonts w:hint="eastAsia" w:ascii="宋体" w:hAnsi="宋体" w:cs="宋体"/>
                <w:kern w:val="0"/>
                <w:sz w:val="18"/>
                <w:szCs w:val="18"/>
                <w:highlight w:val="none"/>
              </w:rPr>
              <w:t>万元</w:t>
            </w:r>
          </w:p>
        </w:tc>
        <w:tc>
          <w:tcPr>
            <w:tcW w:w="1125" w:type="dxa"/>
            <w:tcBorders>
              <w:top w:val="nil"/>
              <w:left w:val="nil"/>
              <w:bottom w:val="single" w:color="auto" w:sz="4" w:space="0"/>
              <w:right w:val="single" w:color="auto" w:sz="4" w:space="0"/>
            </w:tcBorders>
            <w:vAlign w:val="center"/>
          </w:tcPr>
          <w:p w14:paraId="23A0D4FC">
            <w:pPr>
              <w:widowControl/>
              <w:jc w:val="center"/>
              <w:rPr>
                <w:rFonts w:ascii="宋体" w:hAnsi="宋体" w:cs="宋体"/>
                <w:kern w:val="0"/>
                <w:sz w:val="18"/>
                <w:szCs w:val="18"/>
                <w:highlight w:val="none"/>
              </w:rPr>
            </w:pPr>
            <w:r>
              <w:rPr>
                <w:rFonts w:hint="eastAsia" w:ascii="宋体" w:hAnsi="宋体" w:cs="宋体"/>
                <w:kern w:val="0"/>
                <w:sz w:val="18"/>
                <w:szCs w:val="18"/>
                <w:highlight w:val="none"/>
              </w:rPr>
              <w:t>Z≥10000</w:t>
            </w:r>
          </w:p>
        </w:tc>
        <w:tc>
          <w:tcPr>
            <w:tcW w:w="1701" w:type="dxa"/>
            <w:tcBorders>
              <w:top w:val="nil"/>
              <w:left w:val="nil"/>
              <w:bottom w:val="single" w:color="auto" w:sz="4" w:space="0"/>
              <w:right w:val="single" w:color="auto" w:sz="4" w:space="0"/>
            </w:tcBorders>
            <w:vAlign w:val="center"/>
          </w:tcPr>
          <w:p w14:paraId="5B68C375">
            <w:pPr>
              <w:widowControl/>
              <w:jc w:val="center"/>
              <w:rPr>
                <w:rFonts w:ascii="宋体" w:hAnsi="宋体" w:cs="宋体"/>
                <w:kern w:val="0"/>
                <w:sz w:val="18"/>
                <w:szCs w:val="18"/>
                <w:highlight w:val="none"/>
              </w:rPr>
            </w:pPr>
            <w:r>
              <w:rPr>
                <w:rFonts w:hint="eastAsia" w:ascii="宋体" w:hAnsi="宋体" w:cs="宋体"/>
                <w:kern w:val="0"/>
                <w:sz w:val="18"/>
                <w:szCs w:val="18"/>
                <w:highlight w:val="none"/>
              </w:rPr>
              <w:t>5000≤Z＜10000</w:t>
            </w:r>
          </w:p>
        </w:tc>
        <w:tc>
          <w:tcPr>
            <w:tcW w:w="1426" w:type="dxa"/>
            <w:tcBorders>
              <w:top w:val="nil"/>
              <w:left w:val="nil"/>
              <w:bottom w:val="single" w:color="auto" w:sz="4" w:space="0"/>
              <w:right w:val="single" w:color="auto" w:sz="4" w:space="0"/>
            </w:tcBorders>
            <w:vAlign w:val="center"/>
          </w:tcPr>
          <w:p w14:paraId="3F451AEF">
            <w:pPr>
              <w:widowControl/>
              <w:jc w:val="center"/>
              <w:rPr>
                <w:rFonts w:ascii="宋体" w:hAnsi="宋体" w:cs="宋体"/>
                <w:kern w:val="0"/>
                <w:sz w:val="18"/>
                <w:szCs w:val="18"/>
                <w:highlight w:val="none"/>
              </w:rPr>
            </w:pPr>
            <w:r>
              <w:rPr>
                <w:rFonts w:hint="eastAsia" w:ascii="宋体" w:hAnsi="宋体" w:cs="宋体"/>
                <w:kern w:val="0"/>
                <w:sz w:val="18"/>
                <w:szCs w:val="18"/>
                <w:highlight w:val="none"/>
              </w:rPr>
              <w:t xml:space="preserve">2000≤Z＜5000   </w:t>
            </w:r>
          </w:p>
        </w:tc>
        <w:tc>
          <w:tcPr>
            <w:tcW w:w="992" w:type="dxa"/>
            <w:tcBorders>
              <w:top w:val="nil"/>
              <w:left w:val="nil"/>
              <w:bottom w:val="single" w:color="auto" w:sz="4" w:space="0"/>
              <w:right w:val="nil"/>
            </w:tcBorders>
            <w:vAlign w:val="center"/>
          </w:tcPr>
          <w:p w14:paraId="687A49BA">
            <w:pPr>
              <w:widowControl/>
              <w:jc w:val="center"/>
              <w:rPr>
                <w:rFonts w:ascii="宋体" w:hAnsi="宋体" w:cs="宋体"/>
                <w:kern w:val="0"/>
                <w:sz w:val="18"/>
                <w:szCs w:val="18"/>
                <w:highlight w:val="none"/>
              </w:rPr>
            </w:pPr>
            <w:r>
              <w:rPr>
                <w:rFonts w:hint="eastAsia" w:ascii="宋体" w:hAnsi="宋体" w:cs="宋体"/>
                <w:kern w:val="0"/>
                <w:sz w:val="18"/>
                <w:szCs w:val="18"/>
                <w:highlight w:val="none"/>
              </w:rPr>
              <w:t>Z＜2000</w:t>
            </w:r>
          </w:p>
        </w:tc>
      </w:tr>
      <w:tr w14:paraId="7F95BD92">
        <w:tblPrEx>
          <w:tblCellMar>
            <w:top w:w="0" w:type="dxa"/>
            <w:left w:w="108" w:type="dxa"/>
            <w:bottom w:w="0" w:type="dxa"/>
            <w:right w:w="108" w:type="dxa"/>
          </w:tblCellMar>
        </w:tblPrEx>
        <w:trPr>
          <w:trHeight w:val="340" w:hRule="exact"/>
          <w:jc w:val="center"/>
        </w:trPr>
        <w:tc>
          <w:tcPr>
            <w:tcW w:w="2113" w:type="dxa"/>
            <w:vMerge w:val="restart"/>
            <w:tcBorders>
              <w:top w:val="nil"/>
              <w:left w:val="nil"/>
              <w:bottom w:val="single" w:color="auto" w:sz="4" w:space="0"/>
              <w:right w:val="single" w:color="auto" w:sz="4" w:space="0"/>
            </w:tcBorders>
            <w:vAlign w:val="center"/>
          </w:tcPr>
          <w:p w14:paraId="2E5201A1">
            <w:pPr>
              <w:widowControl/>
              <w:spacing w:line="240" w:lineRule="exact"/>
              <w:jc w:val="left"/>
              <w:rPr>
                <w:rFonts w:ascii="宋体" w:hAnsi="宋体" w:cs="宋体"/>
                <w:kern w:val="0"/>
                <w:sz w:val="18"/>
                <w:szCs w:val="18"/>
                <w:highlight w:val="none"/>
              </w:rPr>
            </w:pPr>
            <w:r>
              <w:rPr>
                <w:rFonts w:hint="eastAsia" w:ascii="宋体" w:hAnsi="宋体" w:cs="宋体"/>
                <w:kern w:val="0"/>
                <w:sz w:val="18"/>
                <w:szCs w:val="18"/>
                <w:highlight w:val="none"/>
              </w:rPr>
              <w:t>物业管理</w:t>
            </w:r>
          </w:p>
        </w:tc>
        <w:tc>
          <w:tcPr>
            <w:tcW w:w="1369" w:type="dxa"/>
            <w:tcBorders>
              <w:top w:val="nil"/>
              <w:left w:val="nil"/>
              <w:bottom w:val="nil"/>
              <w:right w:val="single" w:color="auto" w:sz="4" w:space="0"/>
            </w:tcBorders>
            <w:vAlign w:val="center"/>
          </w:tcPr>
          <w:p w14:paraId="2499308F">
            <w:pPr>
              <w:widowControl/>
              <w:jc w:val="center"/>
              <w:rPr>
                <w:rFonts w:ascii="宋体" w:hAnsi="宋体" w:cs="宋体"/>
                <w:kern w:val="0"/>
                <w:sz w:val="18"/>
                <w:szCs w:val="18"/>
                <w:highlight w:val="none"/>
              </w:rPr>
            </w:pPr>
            <w:r>
              <w:rPr>
                <w:rFonts w:hint="eastAsia" w:ascii="宋体" w:hAnsi="宋体" w:cs="宋体"/>
                <w:kern w:val="0"/>
                <w:sz w:val="18"/>
                <w:szCs w:val="18"/>
                <w:highlight w:val="none"/>
              </w:rPr>
              <w:t>从业人员(X)</w:t>
            </w:r>
          </w:p>
        </w:tc>
        <w:tc>
          <w:tcPr>
            <w:tcW w:w="709" w:type="dxa"/>
            <w:tcBorders>
              <w:top w:val="nil"/>
              <w:left w:val="nil"/>
              <w:bottom w:val="nil"/>
              <w:right w:val="single" w:color="auto" w:sz="4" w:space="0"/>
            </w:tcBorders>
            <w:vAlign w:val="center"/>
          </w:tcPr>
          <w:p w14:paraId="49F7F5D5">
            <w:pPr>
              <w:widowControl/>
              <w:jc w:val="center"/>
              <w:rPr>
                <w:rFonts w:ascii="宋体" w:hAnsi="宋体" w:cs="宋体"/>
                <w:kern w:val="0"/>
                <w:sz w:val="18"/>
                <w:szCs w:val="18"/>
                <w:highlight w:val="none"/>
              </w:rPr>
            </w:pPr>
            <w:r>
              <w:rPr>
                <w:rFonts w:hint="eastAsia" w:ascii="宋体" w:hAnsi="宋体" w:cs="宋体"/>
                <w:kern w:val="0"/>
                <w:sz w:val="18"/>
                <w:szCs w:val="18"/>
                <w:highlight w:val="none"/>
              </w:rPr>
              <w:t>人</w:t>
            </w:r>
          </w:p>
        </w:tc>
        <w:tc>
          <w:tcPr>
            <w:tcW w:w="1125" w:type="dxa"/>
            <w:tcBorders>
              <w:top w:val="nil"/>
              <w:left w:val="nil"/>
              <w:bottom w:val="nil"/>
              <w:right w:val="single" w:color="auto" w:sz="4" w:space="0"/>
            </w:tcBorders>
            <w:vAlign w:val="center"/>
          </w:tcPr>
          <w:p w14:paraId="2E663654">
            <w:pPr>
              <w:widowControl/>
              <w:jc w:val="center"/>
              <w:rPr>
                <w:rFonts w:ascii="宋体" w:hAnsi="宋体" w:cs="宋体"/>
                <w:kern w:val="0"/>
                <w:sz w:val="18"/>
                <w:szCs w:val="18"/>
                <w:highlight w:val="none"/>
              </w:rPr>
            </w:pPr>
            <w:r>
              <w:rPr>
                <w:rFonts w:hint="eastAsia" w:ascii="宋体" w:hAnsi="宋体" w:cs="宋体"/>
                <w:kern w:val="0"/>
                <w:sz w:val="18"/>
                <w:szCs w:val="18"/>
                <w:highlight w:val="none"/>
              </w:rPr>
              <w:t>X≥1000</w:t>
            </w:r>
          </w:p>
        </w:tc>
        <w:tc>
          <w:tcPr>
            <w:tcW w:w="1701" w:type="dxa"/>
            <w:tcBorders>
              <w:top w:val="nil"/>
              <w:left w:val="nil"/>
              <w:bottom w:val="nil"/>
              <w:right w:val="single" w:color="auto" w:sz="4" w:space="0"/>
            </w:tcBorders>
            <w:vAlign w:val="center"/>
          </w:tcPr>
          <w:p w14:paraId="21E5A27E">
            <w:pPr>
              <w:widowControl/>
              <w:jc w:val="center"/>
              <w:rPr>
                <w:rFonts w:ascii="宋体" w:hAnsi="宋体" w:cs="宋体"/>
                <w:kern w:val="0"/>
                <w:sz w:val="18"/>
                <w:szCs w:val="18"/>
                <w:highlight w:val="none"/>
              </w:rPr>
            </w:pPr>
            <w:r>
              <w:rPr>
                <w:rFonts w:hint="eastAsia" w:ascii="宋体" w:hAnsi="宋体" w:cs="宋体"/>
                <w:kern w:val="0"/>
                <w:sz w:val="18"/>
                <w:szCs w:val="18"/>
                <w:highlight w:val="none"/>
              </w:rPr>
              <w:t>300≤X＜1000</w:t>
            </w:r>
          </w:p>
        </w:tc>
        <w:tc>
          <w:tcPr>
            <w:tcW w:w="1426" w:type="dxa"/>
            <w:tcBorders>
              <w:top w:val="nil"/>
              <w:left w:val="nil"/>
              <w:bottom w:val="nil"/>
              <w:right w:val="single" w:color="auto" w:sz="4" w:space="0"/>
            </w:tcBorders>
            <w:vAlign w:val="center"/>
          </w:tcPr>
          <w:p w14:paraId="29464438">
            <w:pPr>
              <w:widowControl/>
              <w:jc w:val="center"/>
              <w:rPr>
                <w:rFonts w:ascii="宋体" w:hAnsi="宋体" w:cs="宋体"/>
                <w:kern w:val="0"/>
                <w:sz w:val="18"/>
                <w:szCs w:val="18"/>
                <w:highlight w:val="none"/>
              </w:rPr>
            </w:pPr>
            <w:r>
              <w:rPr>
                <w:rFonts w:hint="eastAsia" w:ascii="宋体" w:hAnsi="宋体" w:cs="宋体"/>
                <w:kern w:val="0"/>
                <w:sz w:val="18"/>
                <w:szCs w:val="18"/>
                <w:highlight w:val="none"/>
              </w:rPr>
              <w:t xml:space="preserve">100≤X＜300 </w:t>
            </w:r>
          </w:p>
        </w:tc>
        <w:tc>
          <w:tcPr>
            <w:tcW w:w="992" w:type="dxa"/>
            <w:tcBorders>
              <w:top w:val="nil"/>
              <w:left w:val="nil"/>
              <w:bottom w:val="nil"/>
              <w:right w:val="nil"/>
            </w:tcBorders>
            <w:vAlign w:val="center"/>
          </w:tcPr>
          <w:p w14:paraId="0C91B674">
            <w:pPr>
              <w:widowControl/>
              <w:jc w:val="center"/>
              <w:rPr>
                <w:rFonts w:ascii="宋体" w:hAnsi="宋体" w:cs="宋体"/>
                <w:kern w:val="0"/>
                <w:sz w:val="18"/>
                <w:szCs w:val="18"/>
                <w:highlight w:val="none"/>
              </w:rPr>
            </w:pPr>
            <w:r>
              <w:rPr>
                <w:rFonts w:hint="eastAsia" w:ascii="宋体" w:hAnsi="宋体" w:cs="宋体"/>
                <w:kern w:val="0"/>
                <w:sz w:val="18"/>
                <w:szCs w:val="18"/>
                <w:highlight w:val="none"/>
              </w:rPr>
              <w:t>X＜100</w:t>
            </w:r>
          </w:p>
        </w:tc>
      </w:tr>
      <w:tr w14:paraId="60731AEF">
        <w:tblPrEx>
          <w:tblCellMar>
            <w:top w:w="0" w:type="dxa"/>
            <w:left w:w="108" w:type="dxa"/>
            <w:bottom w:w="0" w:type="dxa"/>
            <w:right w:w="108" w:type="dxa"/>
          </w:tblCellMar>
        </w:tblPrEx>
        <w:trPr>
          <w:trHeight w:val="340" w:hRule="exact"/>
          <w:jc w:val="center"/>
        </w:trPr>
        <w:tc>
          <w:tcPr>
            <w:tcW w:w="2113" w:type="dxa"/>
            <w:vMerge w:val="continue"/>
            <w:tcBorders>
              <w:top w:val="nil"/>
              <w:left w:val="nil"/>
              <w:bottom w:val="single" w:color="auto" w:sz="4" w:space="0"/>
              <w:right w:val="single" w:color="auto" w:sz="4" w:space="0"/>
            </w:tcBorders>
            <w:vAlign w:val="center"/>
          </w:tcPr>
          <w:p w14:paraId="20B98220">
            <w:pPr>
              <w:widowControl/>
              <w:jc w:val="left"/>
              <w:rPr>
                <w:rFonts w:ascii="宋体" w:hAnsi="宋体" w:cs="宋体"/>
                <w:kern w:val="0"/>
                <w:sz w:val="18"/>
                <w:szCs w:val="18"/>
                <w:highlight w:val="none"/>
              </w:rPr>
            </w:pPr>
          </w:p>
        </w:tc>
        <w:tc>
          <w:tcPr>
            <w:tcW w:w="1369" w:type="dxa"/>
            <w:tcBorders>
              <w:top w:val="nil"/>
              <w:left w:val="nil"/>
              <w:bottom w:val="single" w:color="auto" w:sz="4" w:space="0"/>
              <w:right w:val="single" w:color="auto" w:sz="4" w:space="0"/>
            </w:tcBorders>
            <w:vAlign w:val="center"/>
          </w:tcPr>
          <w:p w14:paraId="17A28EAE">
            <w:pPr>
              <w:widowControl/>
              <w:spacing w:line="240" w:lineRule="exact"/>
              <w:jc w:val="center"/>
              <w:rPr>
                <w:rFonts w:ascii="宋体" w:hAnsi="宋体" w:cs="宋体"/>
                <w:kern w:val="0"/>
                <w:sz w:val="18"/>
                <w:szCs w:val="18"/>
                <w:highlight w:val="none"/>
              </w:rPr>
            </w:pPr>
            <w:r>
              <w:rPr>
                <w:rFonts w:hint="eastAsia" w:ascii="宋体" w:hAnsi="宋体" w:cs="宋体"/>
                <w:kern w:val="0"/>
                <w:sz w:val="18"/>
                <w:szCs w:val="18"/>
                <w:highlight w:val="none"/>
              </w:rPr>
              <w:t>营业收入(Y)</w:t>
            </w:r>
          </w:p>
        </w:tc>
        <w:tc>
          <w:tcPr>
            <w:tcW w:w="709" w:type="dxa"/>
            <w:tcBorders>
              <w:top w:val="nil"/>
              <w:left w:val="nil"/>
              <w:bottom w:val="single" w:color="auto" w:sz="4" w:space="0"/>
              <w:right w:val="single" w:color="auto" w:sz="4" w:space="0"/>
            </w:tcBorders>
            <w:vAlign w:val="center"/>
          </w:tcPr>
          <w:p w14:paraId="6F886A60">
            <w:pPr>
              <w:widowControl/>
              <w:jc w:val="center"/>
              <w:rPr>
                <w:rFonts w:ascii="宋体" w:hAnsi="宋体" w:cs="宋体"/>
                <w:kern w:val="0"/>
                <w:sz w:val="18"/>
                <w:szCs w:val="18"/>
                <w:highlight w:val="none"/>
              </w:rPr>
            </w:pPr>
            <w:r>
              <w:rPr>
                <w:rFonts w:hint="eastAsia" w:ascii="宋体" w:hAnsi="宋体" w:cs="宋体"/>
                <w:kern w:val="0"/>
                <w:sz w:val="18"/>
                <w:szCs w:val="18"/>
                <w:highlight w:val="none"/>
              </w:rPr>
              <w:t>万元</w:t>
            </w:r>
          </w:p>
        </w:tc>
        <w:tc>
          <w:tcPr>
            <w:tcW w:w="1125" w:type="dxa"/>
            <w:tcBorders>
              <w:top w:val="nil"/>
              <w:left w:val="nil"/>
              <w:bottom w:val="single" w:color="auto" w:sz="4" w:space="0"/>
              <w:right w:val="single" w:color="auto" w:sz="4" w:space="0"/>
            </w:tcBorders>
            <w:vAlign w:val="center"/>
          </w:tcPr>
          <w:p w14:paraId="6E802CAD">
            <w:pPr>
              <w:widowControl/>
              <w:jc w:val="center"/>
              <w:rPr>
                <w:rFonts w:ascii="宋体" w:hAnsi="宋体" w:cs="宋体"/>
                <w:kern w:val="0"/>
                <w:sz w:val="18"/>
                <w:szCs w:val="18"/>
                <w:highlight w:val="none"/>
              </w:rPr>
            </w:pPr>
            <w:r>
              <w:rPr>
                <w:rFonts w:hint="eastAsia" w:ascii="宋体" w:hAnsi="宋体" w:cs="宋体"/>
                <w:kern w:val="0"/>
                <w:sz w:val="18"/>
                <w:szCs w:val="18"/>
                <w:highlight w:val="none"/>
              </w:rPr>
              <w:t>Y≥5000</w:t>
            </w:r>
          </w:p>
        </w:tc>
        <w:tc>
          <w:tcPr>
            <w:tcW w:w="1701" w:type="dxa"/>
            <w:tcBorders>
              <w:top w:val="nil"/>
              <w:left w:val="nil"/>
              <w:bottom w:val="single" w:color="auto" w:sz="4" w:space="0"/>
              <w:right w:val="single" w:color="auto" w:sz="4" w:space="0"/>
            </w:tcBorders>
            <w:vAlign w:val="center"/>
          </w:tcPr>
          <w:p w14:paraId="34B55D8B">
            <w:pPr>
              <w:widowControl/>
              <w:ind w:left="1" w:leftChars="-51" w:hanging="108" w:hangingChars="60"/>
              <w:jc w:val="center"/>
              <w:rPr>
                <w:rFonts w:ascii="宋体" w:hAnsi="宋体" w:cs="宋体"/>
                <w:kern w:val="0"/>
                <w:sz w:val="18"/>
                <w:szCs w:val="18"/>
                <w:highlight w:val="none"/>
              </w:rPr>
            </w:pPr>
            <w:r>
              <w:rPr>
                <w:rFonts w:hint="eastAsia" w:ascii="宋体" w:hAnsi="宋体" w:cs="宋体"/>
                <w:kern w:val="0"/>
                <w:sz w:val="18"/>
                <w:szCs w:val="18"/>
                <w:highlight w:val="none"/>
              </w:rPr>
              <w:t xml:space="preserve">1000≤Y＜5000 </w:t>
            </w:r>
          </w:p>
        </w:tc>
        <w:tc>
          <w:tcPr>
            <w:tcW w:w="1426" w:type="dxa"/>
            <w:tcBorders>
              <w:top w:val="nil"/>
              <w:left w:val="nil"/>
              <w:bottom w:val="single" w:color="auto" w:sz="4" w:space="0"/>
              <w:right w:val="single" w:color="auto" w:sz="4" w:space="0"/>
            </w:tcBorders>
            <w:vAlign w:val="center"/>
          </w:tcPr>
          <w:p w14:paraId="25954E50">
            <w:pPr>
              <w:widowControl/>
              <w:jc w:val="center"/>
              <w:rPr>
                <w:rFonts w:ascii="宋体" w:hAnsi="宋体" w:cs="宋体"/>
                <w:kern w:val="0"/>
                <w:sz w:val="18"/>
                <w:szCs w:val="18"/>
                <w:highlight w:val="none"/>
              </w:rPr>
            </w:pPr>
            <w:r>
              <w:rPr>
                <w:rFonts w:hint="eastAsia" w:ascii="宋体" w:hAnsi="宋体" w:cs="宋体"/>
                <w:kern w:val="0"/>
                <w:sz w:val="18"/>
                <w:szCs w:val="18"/>
                <w:highlight w:val="none"/>
              </w:rPr>
              <w:t xml:space="preserve"> 500≤Y＜1000</w:t>
            </w:r>
          </w:p>
        </w:tc>
        <w:tc>
          <w:tcPr>
            <w:tcW w:w="992" w:type="dxa"/>
            <w:tcBorders>
              <w:top w:val="nil"/>
              <w:left w:val="nil"/>
              <w:bottom w:val="single" w:color="auto" w:sz="4" w:space="0"/>
              <w:right w:val="nil"/>
            </w:tcBorders>
            <w:vAlign w:val="center"/>
          </w:tcPr>
          <w:p w14:paraId="675D38C8">
            <w:pPr>
              <w:widowControl/>
              <w:jc w:val="center"/>
              <w:rPr>
                <w:rFonts w:ascii="宋体" w:hAnsi="宋体" w:cs="宋体"/>
                <w:kern w:val="0"/>
                <w:sz w:val="18"/>
                <w:szCs w:val="18"/>
                <w:highlight w:val="none"/>
              </w:rPr>
            </w:pPr>
            <w:r>
              <w:rPr>
                <w:rFonts w:hint="eastAsia" w:ascii="宋体" w:hAnsi="宋体" w:cs="宋体"/>
                <w:kern w:val="0"/>
                <w:sz w:val="18"/>
                <w:szCs w:val="18"/>
                <w:highlight w:val="none"/>
              </w:rPr>
              <w:t>Y＜500</w:t>
            </w:r>
          </w:p>
        </w:tc>
      </w:tr>
      <w:tr w14:paraId="5EB7E7A9">
        <w:tblPrEx>
          <w:tblCellMar>
            <w:top w:w="0" w:type="dxa"/>
            <w:left w:w="108" w:type="dxa"/>
            <w:bottom w:w="0" w:type="dxa"/>
            <w:right w:w="108" w:type="dxa"/>
          </w:tblCellMar>
        </w:tblPrEx>
        <w:trPr>
          <w:trHeight w:val="340" w:hRule="exact"/>
          <w:jc w:val="center"/>
        </w:trPr>
        <w:tc>
          <w:tcPr>
            <w:tcW w:w="2113" w:type="dxa"/>
            <w:vMerge w:val="restart"/>
            <w:tcBorders>
              <w:top w:val="nil"/>
              <w:left w:val="nil"/>
              <w:bottom w:val="single" w:color="auto" w:sz="4" w:space="0"/>
              <w:right w:val="single" w:color="auto" w:sz="4" w:space="0"/>
            </w:tcBorders>
            <w:vAlign w:val="center"/>
          </w:tcPr>
          <w:p w14:paraId="1EC1D2F9">
            <w:pPr>
              <w:widowControl/>
              <w:spacing w:line="240" w:lineRule="exact"/>
              <w:jc w:val="left"/>
              <w:rPr>
                <w:rFonts w:ascii="宋体" w:hAnsi="宋体" w:cs="宋体"/>
                <w:kern w:val="0"/>
                <w:sz w:val="18"/>
                <w:szCs w:val="18"/>
                <w:highlight w:val="none"/>
              </w:rPr>
            </w:pPr>
            <w:r>
              <w:rPr>
                <w:rFonts w:hint="eastAsia" w:ascii="宋体" w:hAnsi="宋体" w:cs="宋体"/>
                <w:kern w:val="0"/>
                <w:sz w:val="18"/>
                <w:szCs w:val="18"/>
                <w:highlight w:val="none"/>
              </w:rPr>
              <w:t>租赁和商务服务业</w:t>
            </w:r>
          </w:p>
        </w:tc>
        <w:tc>
          <w:tcPr>
            <w:tcW w:w="1369" w:type="dxa"/>
            <w:tcBorders>
              <w:top w:val="nil"/>
              <w:left w:val="nil"/>
              <w:bottom w:val="nil"/>
              <w:right w:val="single" w:color="auto" w:sz="4" w:space="0"/>
            </w:tcBorders>
            <w:vAlign w:val="center"/>
          </w:tcPr>
          <w:p w14:paraId="74F13084">
            <w:pPr>
              <w:widowControl/>
              <w:jc w:val="center"/>
              <w:rPr>
                <w:rFonts w:ascii="宋体" w:hAnsi="宋体" w:cs="宋体"/>
                <w:kern w:val="0"/>
                <w:sz w:val="18"/>
                <w:szCs w:val="18"/>
                <w:highlight w:val="none"/>
              </w:rPr>
            </w:pPr>
            <w:r>
              <w:rPr>
                <w:rFonts w:hint="eastAsia" w:ascii="宋体" w:hAnsi="宋体" w:cs="宋体"/>
                <w:kern w:val="0"/>
                <w:sz w:val="18"/>
                <w:szCs w:val="18"/>
                <w:highlight w:val="none"/>
              </w:rPr>
              <w:t>从业人员(X)</w:t>
            </w:r>
          </w:p>
        </w:tc>
        <w:tc>
          <w:tcPr>
            <w:tcW w:w="709" w:type="dxa"/>
            <w:tcBorders>
              <w:top w:val="nil"/>
              <w:left w:val="nil"/>
              <w:bottom w:val="nil"/>
              <w:right w:val="single" w:color="auto" w:sz="4" w:space="0"/>
            </w:tcBorders>
            <w:vAlign w:val="center"/>
          </w:tcPr>
          <w:p w14:paraId="71D2A1AA">
            <w:pPr>
              <w:widowControl/>
              <w:jc w:val="center"/>
              <w:rPr>
                <w:rFonts w:ascii="宋体" w:hAnsi="宋体" w:cs="宋体"/>
                <w:kern w:val="0"/>
                <w:sz w:val="18"/>
                <w:szCs w:val="18"/>
                <w:highlight w:val="none"/>
              </w:rPr>
            </w:pPr>
            <w:r>
              <w:rPr>
                <w:rFonts w:hint="eastAsia" w:ascii="宋体" w:hAnsi="宋体" w:cs="宋体"/>
                <w:kern w:val="0"/>
                <w:sz w:val="18"/>
                <w:szCs w:val="18"/>
                <w:highlight w:val="none"/>
              </w:rPr>
              <w:t>人</w:t>
            </w:r>
          </w:p>
        </w:tc>
        <w:tc>
          <w:tcPr>
            <w:tcW w:w="1125" w:type="dxa"/>
            <w:tcBorders>
              <w:top w:val="nil"/>
              <w:left w:val="nil"/>
              <w:bottom w:val="nil"/>
              <w:right w:val="single" w:color="auto" w:sz="4" w:space="0"/>
            </w:tcBorders>
            <w:vAlign w:val="center"/>
          </w:tcPr>
          <w:p w14:paraId="013E6257">
            <w:pPr>
              <w:widowControl/>
              <w:jc w:val="center"/>
              <w:rPr>
                <w:rFonts w:ascii="宋体" w:hAnsi="宋体" w:cs="宋体"/>
                <w:kern w:val="0"/>
                <w:sz w:val="18"/>
                <w:szCs w:val="18"/>
                <w:highlight w:val="none"/>
              </w:rPr>
            </w:pPr>
            <w:r>
              <w:rPr>
                <w:rFonts w:hint="eastAsia" w:ascii="宋体" w:hAnsi="宋体" w:cs="宋体"/>
                <w:kern w:val="0"/>
                <w:sz w:val="18"/>
                <w:szCs w:val="18"/>
                <w:highlight w:val="none"/>
              </w:rPr>
              <w:t>X≥300</w:t>
            </w:r>
          </w:p>
        </w:tc>
        <w:tc>
          <w:tcPr>
            <w:tcW w:w="1701" w:type="dxa"/>
            <w:tcBorders>
              <w:top w:val="nil"/>
              <w:left w:val="nil"/>
              <w:bottom w:val="nil"/>
              <w:right w:val="single" w:color="auto" w:sz="4" w:space="0"/>
            </w:tcBorders>
            <w:vAlign w:val="center"/>
          </w:tcPr>
          <w:p w14:paraId="355AA09E">
            <w:pPr>
              <w:widowControl/>
              <w:ind w:left="1" w:leftChars="-51" w:hanging="108" w:hangingChars="60"/>
              <w:jc w:val="center"/>
              <w:rPr>
                <w:rFonts w:ascii="宋体" w:hAnsi="宋体" w:cs="宋体"/>
                <w:kern w:val="0"/>
                <w:sz w:val="18"/>
                <w:szCs w:val="18"/>
                <w:highlight w:val="none"/>
              </w:rPr>
            </w:pPr>
            <w:r>
              <w:rPr>
                <w:rFonts w:hint="eastAsia" w:ascii="宋体" w:hAnsi="宋体" w:cs="宋体"/>
                <w:kern w:val="0"/>
                <w:sz w:val="18"/>
                <w:szCs w:val="18"/>
                <w:highlight w:val="none"/>
              </w:rPr>
              <w:t xml:space="preserve">100≤X＜300 </w:t>
            </w:r>
          </w:p>
        </w:tc>
        <w:tc>
          <w:tcPr>
            <w:tcW w:w="1426" w:type="dxa"/>
            <w:tcBorders>
              <w:top w:val="nil"/>
              <w:left w:val="nil"/>
              <w:bottom w:val="nil"/>
              <w:right w:val="single" w:color="auto" w:sz="4" w:space="0"/>
            </w:tcBorders>
            <w:vAlign w:val="center"/>
          </w:tcPr>
          <w:p w14:paraId="7FBD145F">
            <w:pPr>
              <w:widowControl/>
              <w:jc w:val="center"/>
              <w:rPr>
                <w:rFonts w:ascii="宋体" w:hAnsi="宋体" w:cs="宋体"/>
                <w:kern w:val="0"/>
                <w:sz w:val="18"/>
                <w:szCs w:val="18"/>
                <w:highlight w:val="none"/>
              </w:rPr>
            </w:pPr>
            <w:r>
              <w:rPr>
                <w:rFonts w:hint="eastAsia" w:ascii="宋体" w:hAnsi="宋体" w:cs="宋体"/>
                <w:kern w:val="0"/>
                <w:sz w:val="18"/>
                <w:szCs w:val="18"/>
                <w:highlight w:val="none"/>
              </w:rPr>
              <w:t xml:space="preserve"> 10≤X＜100</w:t>
            </w:r>
          </w:p>
        </w:tc>
        <w:tc>
          <w:tcPr>
            <w:tcW w:w="992" w:type="dxa"/>
            <w:tcBorders>
              <w:top w:val="nil"/>
              <w:left w:val="nil"/>
              <w:bottom w:val="nil"/>
              <w:right w:val="nil"/>
            </w:tcBorders>
            <w:vAlign w:val="center"/>
          </w:tcPr>
          <w:p w14:paraId="2D270784">
            <w:pPr>
              <w:widowControl/>
              <w:jc w:val="center"/>
              <w:rPr>
                <w:rFonts w:ascii="宋体" w:hAnsi="宋体" w:cs="宋体"/>
                <w:kern w:val="0"/>
                <w:sz w:val="18"/>
                <w:szCs w:val="18"/>
                <w:highlight w:val="none"/>
              </w:rPr>
            </w:pPr>
            <w:r>
              <w:rPr>
                <w:rFonts w:hint="eastAsia" w:ascii="宋体" w:hAnsi="宋体" w:cs="宋体"/>
                <w:kern w:val="0"/>
                <w:sz w:val="18"/>
                <w:szCs w:val="18"/>
                <w:highlight w:val="none"/>
              </w:rPr>
              <w:t>X＜10</w:t>
            </w:r>
          </w:p>
        </w:tc>
      </w:tr>
      <w:tr w14:paraId="18867F2A">
        <w:tblPrEx>
          <w:tblCellMar>
            <w:top w:w="0" w:type="dxa"/>
            <w:left w:w="108" w:type="dxa"/>
            <w:bottom w:w="0" w:type="dxa"/>
            <w:right w:w="108" w:type="dxa"/>
          </w:tblCellMar>
        </w:tblPrEx>
        <w:trPr>
          <w:trHeight w:val="340" w:hRule="exact"/>
          <w:jc w:val="center"/>
        </w:trPr>
        <w:tc>
          <w:tcPr>
            <w:tcW w:w="2113" w:type="dxa"/>
            <w:vMerge w:val="continue"/>
            <w:tcBorders>
              <w:top w:val="nil"/>
              <w:left w:val="nil"/>
              <w:bottom w:val="single" w:color="auto" w:sz="4" w:space="0"/>
              <w:right w:val="single" w:color="auto" w:sz="4" w:space="0"/>
            </w:tcBorders>
            <w:vAlign w:val="center"/>
          </w:tcPr>
          <w:p w14:paraId="628FBE86">
            <w:pPr>
              <w:widowControl/>
              <w:jc w:val="left"/>
              <w:rPr>
                <w:rFonts w:ascii="宋体" w:hAnsi="宋体" w:cs="宋体"/>
                <w:kern w:val="0"/>
                <w:sz w:val="18"/>
                <w:szCs w:val="18"/>
                <w:highlight w:val="none"/>
              </w:rPr>
            </w:pPr>
          </w:p>
        </w:tc>
        <w:tc>
          <w:tcPr>
            <w:tcW w:w="1369" w:type="dxa"/>
            <w:tcBorders>
              <w:top w:val="nil"/>
              <w:left w:val="nil"/>
              <w:bottom w:val="single" w:color="auto" w:sz="4" w:space="0"/>
              <w:right w:val="single" w:color="auto" w:sz="4" w:space="0"/>
            </w:tcBorders>
            <w:vAlign w:val="center"/>
          </w:tcPr>
          <w:p w14:paraId="1E31043D">
            <w:pPr>
              <w:widowControl/>
              <w:spacing w:line="240" w:lineRule="exact"/>
              <w:jc w:val="center"/>
              <w:rPr>
                <w:rFonts w:ascii="宋体" w:hAnsi="宋体" w:cs="宋体"/>
                <w:kern w:val="0"/>
                <w:sz w:val="18"/>
                <w:szCs w:val="18"/>
                <w:highlight w:val="none"/>
              </w:rPr>
            </w:pPr>
            <w:r>
              <w:rPr>
                <w:rFonts w:hint="eastAsia" w:ascii="宋体" w:hAnsi="宋体" w:cs="宋体"/>
                <w:kern w:val="0"/>
                <w:sz w:val="18"/>
                <w:szCs w:val="18"/>
                <w:highlight w:val="none"/>
              </w:rPr>
              <w:t>资产总额(Z)</w:t>
            </w:r>
          </w:p>
        </w:tc>
        <w:tc>
          <w:tcPr>
            <w:tcW w:w="709" w:type="dxa"/>
            <w:tcBorders>
              <w:top w:val="nil"/>
              <w:left w:val="nil"/>
              <w:bottom w:val="single" w:color="auto" w:sz="4" w:space="0"/>
              <w:right w:val="single" w:color="auto" w:sz="4" w:space="0"/>
            </w:tcBorders>
            <w:vAlign w:val="center"/>
          </w:tcPr>
          <w:p w14:paraId="4FAB8407">
            <w:pPr>
              <w:widowControl/>
              <w:jc w:val="center"/>
              <w:rPr>
                <w:rFonts w:ascii="宋体" w:hAnsi="宋体" w:cs="宋体"/>
                <w:kern w:val="0"/>
                <w:sz w:val="18"/>
                <w:szCs w:val="18"/>
                <w:highlight w:val="none"/>
              </w:rPr>
            </w:pPr>
            <w:r>
              <w:rPr>
                <w:rFonts w:hint="eastAsia" w:ascii="宋体" w:hAnsi="宋体" w:cs="宋体"/>
                <w:kern w:val="0"/>
                <w:sz w:val="18"/>
                <w:szCs w:val="18"/>
                <w:highlight w:val="none"/>
              </w:rPr>
              <w:t>万元</w:t>
            </w:r>
          </w:p>
        </w:tc>
        <w:tc>
          <w:tcPr>
            <w:tcW w:w="1125" w:type="dxa"/>
            <w:tcBorders>
              <w:top w:val="nil"/>
              <w:left w:val="nil"/>
              <w:bottom w:val="single" w:color="auto" w:sz="4" w:space="0"/>
              <w:right w:val="single" w:color="auto" w:sz="4" w:space="0"/>
            </w:tcBorders>
            <w:vAlign w:val="center"/>
          </w:tcPr>
          <w:p w14:paraId="7BE6457F">
            <w:pPr>
              <w:widowControl/>
              <w:jc w:val="center"/>
              <w:rPr>
                <w:rFonts w:ascii="宋体" w:hAnsi="宋体" w:cs="宋体"/>
                <w:kern w:val="0"/>
                <w:sz w:val="18"/>
                <w:szCs w:val="18"/>
                <w:highlight w:val="none"/>
              </w:rPr>
            </w:pPr>
            <w:r>
              <w:rPr>
                <w:rFonts w:hint="eastAsia" w:ascii="宋体" w:hAnsi="宋体" w:cs="宋体"/>
                <w:kern w:val="0"/>
                <w:sz w:val="18"/>
                <w:szCs w:val="18"/>
                <w:highlight w:val="none"/>
              </w:rPr>
              <w:t>Z≥120000</w:t>
            </w:r>
          </w:p>
        </w:tc>
        <w:tc>
          <w:tcPr>
            <w:tcW w:w="1701" w:type="dxa"/>
            <w:tcBorders>
              <w:top w:val="nil"/>
              <w:left w:val="nil"/>
              <w:bottom w:val="single" w:color="auto" w:sz="4" w:space="0"/>
              <w:right w:val="single" w:color="auto" w:sz="4" w:space="0"/>
            </w:tcBorders>
            <w:vAlign w:val="center"/>
          </w:tcPr>
          <w:p w14:paraId="2AB5DE48">
            <w:pPr>
              <w:widowControl/>
              <w:jc w:val="center"/>
              <w:rPr>
                <w:rFonts w:ascii="宋体" w:hAnsi="宋体" w:cs="宋体"/>
                <w:kern w:val="0"/>
                <w:sz w:val="18"/>
                <w:szCs w:val="18"/>
                <w:highlight w:val="none"/>
              </w:rPr>
            </w:pPr>
            <w:r>
              <w:rPr>
                <w:rFonts w:hint="eastAsia" w:ascii="宋体" w:hAnsi="宋体" w:cs="宋体"/>
                <w:kern w:val="0"/>
                <w:sz w:val="18"/>
                <w:szCs w:val="18"/>
                <w:highlight w:val="none"/>
              </w:rPr>
              <w:t xml:space="preserve"> 8000≤Z＜120000</w:t>
            </w:r>
          </w:p>
        </w:tc>
        <w:tc>
          <w:tcPr>
            <w:tcW w:w="1426" w:type="dxa"/>
            <w:tcBorders>
              <w:top w:val="nil"/>
              <w:left w:val="nil"/>
              <w:bottom w:val="single" w:color="auto" w:sz="4" w:space="0"/>
              <w:right w:val="single" w:color="auto" w:sz="4" w:space="0"/>
            </w:tcBorders>
            <w:vAlign w:val="center"/>
          </w:tcPr>
          <w:p w14:paraId="49739C23">
            <w:pPr>
              <w:widowControl/>
              <w:jc w:val="center"/>
              <w:rPr>
                <w:rFonts w:ascii="宋体" w:hAnsi="宋体" w:cs="宋体"/>
                <w:kern w:val="0"/>
                <w:sz w:val="18"/>
                <w:szCs w:val="18"/>
                <w:highlight w:val="none"/>
              </w:rPr>
            </w:pPr>
            <w:r>
              <w:rPr>
                <w:rFonts w:hint="eastAsia" w:ascii="宋体" w:hAnsi="宋体" w:cs="宋体"/>
                <w:kern w:val="0"/>
                <w:sz w:val="18"/>
                <w:szCs w:val="18"/>
                <w:highlight w:val="none"/>
              </w:rPr>
              <w:t xml:space="preserve"> 100≤Z＜8000</w:t>
            </w:r>
          </w:p>
        </w:tc>
        <w:tc>
          <w:tcPr>
            <w:tcW w:w="992" w:type="dxa"/>
            <w:tcBorders>
              <w:top w:val="nil"/>
              <w:left w:val="nil"/>
              <w:bottom w:val="single" w:color="auto" w:sz="4" w:space="0"/>
              <w:right w:val="nil"/>
            </w:tcBorders>
            <w:vAlign w:val="center"/>
          </w:tcPr>
          <w:p w14:paraId="31970F81">
            <w:pPr>
              <w:widowControl/>
              <w:jc w:val="center"/>
              <w:rPr>
                <w:rFonts w:ascii="宋体" w:hAnsi="宋体" w:cs="宋体"/>
                <w:kern w:val="0"/>
                <w:sz w:val="18"/>
                <w:szCs w:val="18"/>
                <w:highlight w:val="none"/>
              </w:rPr>
            </w:pPr>
            <w:r>
              <w:rPr>
                <w:rFonts w:hint="eastAsia" w:ascii="宋体" w:hAnsi="宋体" w:cs="宋体"/>
                <w:kern w:val="0"/>
                <w:sz w:val="18"/>
                <w:szCs w:val="18"/>
                <w:highlight w:val="none"/>
              </w:rPr>
              <w:t>Z＜100</w:t>
            </w:r>
          </w:p>
        </w:tc>
      </w:tr>
      <w:tr w14:paraId="4EAEA82A">
        <w:tblPrEx>
          <w:tblCellMar>
            <w:top w:w="0" w:type="dxa"/>
            <w:left w:w="108" w:type="dxa"/>
            <w:bottom w:w="0" w:type="dxa"/>
            <w:right w:w="108" w:type="dxa"/>
          </w:tblCellMar>
        </w:tblPrEx>
        <w:trPr>
          <w:trHeight w:val="397" w:hRule="exact"/>
          <w:jc w:val="center"/>
        </w:trPr>
        <w:tc>
          <w:tcPr>
            <w:tcW w:w="2113" w:type="dxa"/>
            <w:tcBorders>
              <w:top w:val="nil"/>
              <w:left w:val="nil"/>
              <w:bottom w:val="single" w:color="auto" w:sz="4" w:space="0"/>
              <w:right w:val="single" w:color="auto" w:sz="4" w:space="0"/>
            </w:tcBorders>
            <w:vAlign w:val="center"/>
          </w:tcPr>
          <w:p w14:paraId="70BAF14D">
            <w:pPr>
              <w:widowControl/>
              <w:spacing w:line="240" w:lineRule="exact"/>
              <w:jc w:val="left"/>
              <w:rPr>
                <w:rFonts w:ascii="宋体" w:hAnsi="宋体" w:cs="宋体"/>
                <w:kern w:val="0"/>
                <w:sz w:val="18"/>
                <w:szCs w:val="18"/>
                <w:highlight w:val="none"/>
              </w:rPr>
            </w:pPr>
            <w:r>
              <w:rPr>
                <w:rFonts w:hint="eastAsia" w:ascii="宋体" w:hAnsi="宋体" w:cs="宋体"/>
                <w:kern w:val="0"/>
                <w:sz w:val="18"/>
                <w:szCs w:val="18"/>
                <w:highlight w:val="none"/>
              </w:rPr>
              <w:t>其他未列明行业 *</w:t>
            </w:r>
          </w:p>
        </w:tc>
        <w:tc>
          <w:tcPr>
            <w:tcW w:w="1369" w:type="dxa"/>
            <w:tcBorders>
              <w:top w:val="nil"/>
              <w:left w:val="nil"/>
              <w:bottom w:val="single" w:color="auto" w:sz="4" w:space="0"/>
              <w:right w:val="single" w:color="auto" w:sz="4" w:space="0"/>
            </w:tcBorders>
            <w:vAlign w:val="center"/>
          </w:tcPr>
          <w:p w14:paraId="10B3FC44">
            <w:pPr>
              <w:widowControl/>
              <w:jc w:val="center"/>
              <w:rPr>
                <w:rFonts w:ascii="宋体" w:hAnsi="宋体" w:cs="宋体"/>
                <w:kern w:val="0"/>
                <w:sz w:val="18"/>
                <w:szCs w:val="18"/>
                <w:highlight w:val="none"/>
              </w:rPr>
            </w:pPr>
            <w:r>
              <w:rPr>
                <w:rFonts w:hint="eastAsia" w:ascii="宋体" w:hAnsi="宋体" w:cs="宋体"/>
                <w:kern w:val="0"/>
                <w:sz w:val="18"/>
                <w:szCs w:val="18"/>
                <w:highlight w:val="none"/>
              </w:rPr>
              <w:t>从业人员(X)</w:t>
            </w:r>
          </w:p>
        </w:tc>
        <w:tc>
          <w:tcPr>
            <w:tcW w:w="709" w:type="dxa"/>
            <w:tcBorders>
              <w:top w:val="nil"/>
              <w:left w:val="nil"/>
              <w:bottom w:val="single" w:color="auto" w:sz="4" w:space="0"/>
              <w:right w:val="single" w:color="auto" w:sz="4" w:space="0"/>
            </w:tcBorders>
            <w:vAlign w:val="center"/>
          </w:tcPr>
          <w:p w14:paraId="38CC0A22">
            <w:pPr>
              <w:widowControl/>
              <w:jc w:val="center"/>
              <w:rPr>
                <w:rFonts w:ascii="宋体" w:hAnsi="宋体" w:cs="宋体"/>
                <w:kern w:val="0"/>
                <w:sz w:val="18"/>
                <w:szCs w:val="18"/>
                <w:highlight w:val="none"/>
              </w:rPr>
            </w:pPr>
            <w:r>
              <w:rPr>
                <w:rFonts w:hint="eastAsia" w:ascii="宋体" w:hAnsi="宋体" w:cs="宋体"/>
                <w:kern w:val="0"/>
                <w:sz w:val="18"/>
                <w:szCs w:val="18"/>
                <w:highlight w:val="none"/>
              </w:rPr>
              <w:t>人</w:t>
            </w:r>
          </w:p>
        </w:tc>
        <w:tc>
          <w:tcPr>
            <w:tcW w:w="1125" w:type="dxa"/>
            <w:tcBorders>
              <w:top w:val="nil"/>
              <w:left w:val="nil"/>
              <w:bottom w:val="single" w:color="auto" w:sz="4" w:space="0"/>
              <w:right w:val="single" w:color="auto" w:sz="4" w:space="0"/>
            </w:tcBorders>
            <w:vAlign w:val="center"/>
          </w:tcPr>
          <w:p w14:paraId="49755C4A">
            <w:pPr>
              <w:widowControl/>
              <w:jc w:val="center"/>
              <w:rPr>
                <w:rFonts w:ascii="宋体" w:hAnsi="宋体" w:cs="宋体"/>
                <w:kern w:val="0"/>
                <w:sz w:val="18"/>
                <w:szCs w:val="18"/>
                <w:highlight w:val="none"/>
              </w:rPr>
            </w:pPr>
            <w:r>
              <w:rPr>
                <w:rFonts w:hint="eastAsia" w:ascii="宋体" w:hAnsi="宋体" w:cs="宋体"/>
                <w:kern w:val="0"/>
                <w:sz w:val="18"/>
                <w:szCs w:val="18"/>
                <w:highlight w:val="none"/>
              </w:rPr>
              <w:t>X≥300</w:t>
            </w:r>
          </w:p>
        </w:tc>
        <w:tc>
          <w:tcPr>
            <w:tcW w:w="1701" w:type="dxa"/>
            <w:tcBorders>
              <w:top w:val="nil"/>
              <w:left w:val="nil"/>
              <w:bottom w:val="single" w:color="auto" w:sz="4" w:space="0"/>
              <w:right w:val="single" w:color="auto" w:sz="4" w:space="0"/>
            </w:tcBorders>
            <w:vAlign w:val="center"/>
          </w:tcPr>
          <w:p w14:paraId="29C02E81">
            <w:pPr>
              <w:widowControl/>
              <w:ind w:left="1" w:leftChars="-51" w:hanging="108" w:hangingChars="60"/>
              <w:jc w:val="center"/>
              <w:rPr>
                <w:rFonts w:ascii="宋体" w:hAnsi="宋体" w:cs="宋体"/>
                <w:kern w:val="0"/>
                <w:sz w:val="18"/>
                <w:szCs w:val="18"/>
                <w:highlight w:val="none"/>
              </w:rPr>
            </w:pPr>
            <w:r>
              <w:rPr>
                <w:rFonts w:hint="eastAsia" w:ascii="宋体" w:hAnsi="宋体" w:cs="宋体"/>
                <w:kern w:val="0"/>
                <w:sz w:val="18"/>
                <w:szCs w:val="18"/>
                <w:highlight w:val="none"/>
              </w:rPr>
              <w:t xml:space="preserve">100≤X＜300 </w:t>
            </w:r>
          </w:p>
        </w:tc>
        <w:tc>
          <w:tcPr>
            <w:tcW w:w="1426" w:type="dxa"/>
            <w:tcBorders>
              <w:top w:val="nil"/>
              <w:left w:val="nil"/>
              <w:bottom w:val="single" w:color="auto" w:sz="4" w:space="0"/>
              <w:right w:val="single" w:color="auto" w:sz="4" w:space="0"/>
            </w:tcBorders>
            <w:vAlign w:val="center"/>
          </w:tcPr>
          <w:p w14:paraId="7002988A">
            <w:pPr>
              <w:widowControl/>
              <w:jc w:val="center"/>
              <w:rPr>
                <w:rFonts w:ascii="宋体" w:hAnsi="宋体" w:cs="宋体"/>
                <w:kern w:val="0"/>
                <w:sz w:val="18"/>
                <w:szCs w:val="18"/>
                <w:highlight w:val="none"/>
              </w:rPr>
            </w:pPr>
            <w:r>
              <w:rPr>
                <w:rFonts w:hint="eastAsia" w:ascii="宋体" w:hAnsi="宋体" w:cs="宋体"/>
                <w:kern w:val="0"/>
                <w:sz w:val="18"/>
                <w:szCs w:val="18"/>
                <w:highlight w:val="none"/>
              </w:rPr>
              <w:t xml:space="preserve"> 10≤X＜100</w:t>
            </w:r>
          </w:p>
        </w:tc>
        <w:tc>
          <w:tcPr>
            <w:tcW w:w="992" w:type="dxa"/>
            <w:tcBorders>
              <w:top w:val="nil"/>
              <w:left w:val="nil"/>
              <w:bottom w:val="single" w:color="auto" w:sz="4" w:space="0"/>
              <w:right w:val="nil"/>
            </w:tcBorders>
            <w:vAlign w:val="center"/>
          </w:tcPr>
          <w:p w14:paraId="6A3C1191">
            <w:pPr>
              <w:widowControl/>
              <w:jc w:val="center"/>
              <w:rPr>
                <w:rFonts w:ascii="宋体" w:hAnsi="宋体" w:cs="宋体"/>
                <w:kern w:val="0"/>
                <w:sz w:val="18"/>
                <w:szCs w:val="18"/>
                <w:highlight w:val="none"/>
              </w:rPr>
            </w:pPr>
            <w:r>
              <w:rPr>
                <w:rFonts w:hint="eastAsia" w:ascii="宋体" w:hAnsi="宋体" w:cs="宋体"/>
                <w:kern w:val="0"/>
                <w:sz w:val="18"/>
                <w:szCs w:val="18"/>
                <w:highlight w:val="none"/>
              </w:rPr>
              <w:t>X＜10</w:t>
            </w:r>
          </w:p>
        </w:tc>
      </w:tr>
    </w:tbl>
    <w:p w14:paraId="24552875">
      <w:pPr>
        <w:widowControl/>
        <w:spacing w:line="360" w:lineRule="auto"/>
        <w:jc w:val="left"/>
        <w:rPr>
          <w:rFonts w:ascii="宋体" w:hAnsi="宋体" w:cs="宋体"/>
          <w:kern w:val="0"/>
          <w:szCs w:val="21"/>
          <w:highlight w:val="none"/>
        </w:rPr>
      </w:pPr>
      <w:r>
        <w:rPr>
          <w:rFonts w:ascii="宋体" w:hAnsi="宋体" w:cs="宋体"/>
          <w:kern w:val="0"/>
          <w:szCs w:val="21"/>
          <w:highlight w:val="none"/>
        </w:rPr>
        <w:t>说明：</w:t>
      </w:r>
    </w:p>
    <w:p w14:paraId="1AAA0AE9">
      <w:pPr>
        <w:widowControl/>
        <w:spacing w:line="360" w:lineRule="auto"/>
        <w:ind w:firstLine="371" w:firstLineChars="177"/>
        <w:jc w:val="left"/>
        <w:rPr>
          <w:rFonts w:ascii="宋体" w:hAnsi="宋体" w:cs="宋体"/>
          <w:kern w:val="0"/>
          <w:szCs w:val="21"/>
          <w:highlight w:val="none"/>
        </w:rPr>
      </w:pPr>
      <w:r>
        <w:rPr>
          <w:rFonts w:ascii="宋体" w:hAnsi="宋体" w:cs="宋体"/>
          <w:kern w:val="0"/>
          <w:szCs w:val="21"/>
          <w:highlight w:val="none"/>
        </w:rPr>
        <w:t>1.大型、中型和小型企业须同时满足所列指标的下限，否则下划一档；微型企业只须满足所列指标中的一项即可。</w:t>
      </w:r>
    </w:p>
    <w:p w14:paraId="62DF3A51">
      <w:pPr>
        <w:widowControl/>
        <w:spacing w:line="360" w:lineRule="auto"/>
        <w:ind w:firstLine="371" w:firstLineChars="177"/>
        <w:jc w:val="left"/>
        <w:rPr>
          <w:rFonts w:ascii="宋体" w:hAnsi="宋体" w:cs="宋体"/>
          <w:kern w:val="0"/>
          <w:szCs w:val="21"/>
          <w:highlight w:val="none"/>
        </w:rPr>
      </w:pPr>
      <w:r>
        <w:rPr>
          <w:rFonts w:ascii="宋体" w:hAnsi="宋体" w:cs="宋体"/>
          <w:kern w:val="0"/>
          <w:szCs w:val="21"/>
          <w:highlight w:val="none"/>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2793D9A6">
      <w:pPr>
        <w:widowControl/>
        <w:spacing w:line="360" w:lineRule="auto"/>
        <w:ind w:firstLine="371" w:firstLineChars="177"/>
        <w:jc w:val="left"/>
        <w:rPr>
          <w:rFonts w:ascii="宋体" w:hAnsi="宋体" w:cs="宋体"/>
          <w:kern w:val="0"/>
          <w:szCs w:val="21"/>
          <w:highlight w:val="none"/>
        </w:rPr>
      </w:pPr>
      <w:r>
        <w:rPr>
          <w:rFonts w:ascii="宋体" w:hAnsi="宋体" w:cs="宋体"/>
          <w:kern w:val="0"/>
          <w:szCs w:val="21"/>
          <w:highlight w:val="none"/>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14:paraId="4C86EA13">
      <w:pPr>
        <w:spacing w:line="360" w:lineRule="auto"/>
        <w:rPr>
          <w:rFonts w:ascii="宋体" w:hAnsi="宋体"/>
          <w:szCs w:val="21"/>
          <w:highlight w:val="none"/>
        </w:rPr>
      </w:pPr>
    </w:p>
    <w:p w14:paraId="0A47E417">
      <w:pPr>
        <w:pStyle w:val="4"/>
        <w:spacing w:before="0" w:after="0"/>
        <w:jc w:val="center"/>
        <w:rPr>
          <w:b/>
          <w:bCs/>
          <w:highlight w:val="none"/>
        </w:rPr>
      </w:pPr>
      <w:bookmarkStart w:id="237" w:name="_Toc73610165"/>
      <w:bookmarkStart w:id="238" w:name="_Toc73613647"/>
      <w:r>
        <w:rPr>
          <w:rFonts w:hint="eastAsia"/>
          <w:b/>
          <w:bCs/>
          <w:highlight w:val="none"/>
        </w:rPr>
        <w:br w:type="page"/>
      </w:r>
      <w:r>
        <w:rPr>
          <w:rFonts w:hint="eastAsia"/>
          <w:b/>
          <w:bCs/>
          <w:sz w:val="28"/>
          <w:szCs w:val="44"/>
          <w:highlight w:val="none"/>
        </w:rPr>
        <w:t>四、</w:t>
      </w:r>
      <w:r>
        <w:rPr>
          <w:b/>
          <w:bCs/>
          <w:sz w:val="28"/>
          <w:szCs w:val="44"/>
          <w:highlight w:val="none"/>
        </w:rPr>
        <w:t>财政部 民政部 中国残疾人联合会关于促进残疾人就业 政府采购政策的通知</w:t>
      </w:r>
      <w:bookmarkEnd w:id="237"/>
      <w:bookmarkEnd w:id="238"/>
      <w:r>
        <w:rPr>
          <w:b/>
          <w:bCs/>
          <w:sz w:val="28"/>
          <w:szCs w:val="44"/>
          <w:highlight w:val="none"/>
        </w:rPr>
        <w:t xml:space="preserve"> </w:t>
      </w:r>
    </w:p>
    <w:p w14:paraId="53DE832D">
      <w:pPr>
        <w:widowControl/>
        <w:spacing w:line="360" w:lineRule="auto"/>
        <w:jc w:val="center"/>
        <w:rPr>
          <w:rFonts w:ascii="宋体" w:hAnsi="宋体" w:cs="宋体"/>
          <w:b/>
          <w:bCs/>
          <w:kern w:val="0"/>
          <w:szCs w:val="21"/>
          <w:highlight w:val="none"/>
        </w:rPr>
      </w:pPr>
    </w:p>
    <w:p w14:paraId="5590B828">
      <w:pPr>
        <w:widowControl/>
        <w:spacing w:line="360" w:lineRule="auto"/>
        <w:jc w:val="center"/>
        <w:rPr>
          <w:rFonts w:ascii="宋体" w:hAnsi="宋体" w:cs="宋体"/>
          <w:kern w:val="0"/>
          <w:szCs w:val="21"/>
          <w:highlight w:val="none"/>
        </w:rPr>
      </w:pPr>
      <w:r>
        <w:rPr>
          <w:rFonts w:ascii="宋体" w:hAnsi="宋体" w:cs="宋体"/>
          <w:b/>
          <w:bCs/>
          <w:kern w:val="0"/>
          <w:szCs w:val="21"/>
          <w:highlight w:val="none"/>
        </w:rPr>
        <w:t>财库〔2017〕141号</w:t>
      </w:r>
    </w:p>
    <w:p w14:paraId="2F40E078">
      <w:pPr>
        <w:widowControl/>
        <w:spacing w:line="360" w:lineRule="auto"/>
        <w:jc w:val="left"/>
        <w:rPr>
          <w:rFonts w:ascii="宋体" w:hAnsi="宋体" w:cs="宋体"/>
          <w:kern w:val="0"/>
          <w:szCs w:val="21"/>
          <w:highlight w:val="none"/>
        </w:rPr>
      </w:pPr>
      <w:r>
        <w:rPr>
          <w:rFonts w:hint="eastAsia" w:ascii="宋体" w:hAnsi="宋体" w:cs="宋体"/>
          <w:kern w:val="0"/>
          <w:szCs w:val="21"/>
          <w:highlight w:val="none"/>
        </w:rPr>
        <w:t>党中央有关部门，国务院各部委、各直属机构，全国人大常委会办公厅，全国政协办公厅，高法院，高检院，各民主党派中央，有关人民团体，各省、自治区、直辖市、计划单列市财政厅（局）、民政厅（局）、残疾人联合会，新疆生产建设兵团财务局、民政局、残疾人联合会：</w:t>
      </w:r>
    </w:p>
    <w:p w14:paraId="12B91506">
      <w:pPr>
        <w:widowControl/>
        <w:spacing w:line="360" w:lineRule="auto"/>
        <w:jc w:val="left"/>
        <w:rPr>
          <w:rFonts w:ascii="宋体" w:hAnsi="宋体" w:cs="宋体"/>
          <w:kern w:val="0"/>
          <w:szCs w:val="21"/>
          <w:highlight w:val="none"/>
        </w:rPr>
      </w:pPr>
      <w:r>
        <w:rPr>
          <w:rFonts w:hint="eastAsia" w:ascii="宋体" w:hAnsi="宋体" w:cs="宋体"/>
          <w:kern w:val="0"/>
          <w:szCs w:val="21"/>
          <w:highlight w:val="none"/>
        </w:rPr>
        <w:t>　　为了发挥政府采购促进残疾人就业的作用，进一步保障残疾人权益，依照《政府采购法》、《残疾人保障法》等法律法规及相关规定，现就促进残疾人就业政府采购政策通知如下：</w:t>
      </w:r>
    </w:p>
    <w:p w14:paraId="005E98AE">
      <w:pPr>
        <w:widowControl/>
        <w:spacing w:line="360" w:lineRule="auto"/>
        <w:jc w:val="left"/>
        <w:rPr>
          <w:rFonts w:ascii="宋体" w:hAnsi="宋体" w:cs="宋体"/>
          <w:kern w:val="0"/>
          <w:szCs w:val="21"/>
          <w:highlight w:val="none"/>
        </w:rPr>
      </w:pPr>
      <w:r>
        <w:rPr>
          <w:rFonts w:hint="eastAsia" w:ascii="宋体" w:hAnsi="宋体" w:cs="宋体"/>
          <w:kern w:val="0"/>
          <w:szCs w:val="21"/>
          <w:highlight w:val="none"/>
        </w:rPr>
        <w:t>　　一、享受政府采购支持政策的残疾人福利性单位应当同时满足以下条件：</w:t>
      </w:r>
    </w:p>
    <w:p w14:paraId="2F11E388">
      <w:pPr>
        <w:widowControl/>
        <w:spacing w:line="360" w:lineRule="auto"/>
        <w:jc w:val="left"/>
        <w:rPr>
          <w:rFonts w:ascii="宋体" w:hAnsi="宋体" w:cs="宋体"/>
          <w:kern w:val="0"/>
          <w:szCs w:val="21"/>
          <w:highlight w:val="none"/>
        </w:rPr>
      </w:pPr>
      <w:r>
        <w:rPr>
          <w:rFonts w:hint="eastAsia" w:ascii="宋体" w:hAnsi="宋体" w:cs="宋体"/>
          <w:kern w:val="0"/>
          <w:szCs w:val="21"/>
          <w:highlight w:val="none"/>
        </w:rPr>
        <w:t>　　（一）安置的残疾人占本单位在职职工人数的比例不低于25%（含25%），并且安置的残疾人人数不少于10人（含10人）；</w:t>
      </w:r>
    </w:p>
    <w:p w14:paraId="0DC90E02">
      <w:pPr>
        <w:widowControl/>
        <w:spacing w:line="360" w:lineRule="auto"/>
        <w:jc w:val="left"/>
        <w:rPr>
          <w:rFonts w:ascii="宋体" w:hAnsi="宋体" w:cs="宋体"/>
          <w:kern w:val="0"/>
          <w:szCs w:val="21"/>
          <w:highlight w:val="none"/>
        </w:rPr>
      </w:pPr>
      <w:r>
        <w:rPr>
          <w:rFonts w:hint="eastAsia" w:ascii="宋体" w:hAnsi="宋体" w:cs="宋体"/>
          <w:kern w:val="0"/>
          <w:szCs w:val="21"/>
          <w:highlight w:val="none"/>
        </w:rPr>
        <w:t>　　（二）依法与安置的每位残疾人签订了一年以上（含一年）的劳动合同或服务协议；</w:t>
      </w:r>
    </w:p>
    <w:p w14:paraId="6E746641">
      <w:pPr>
        <w:widowControl/>
        <w:spacing w:line="360" w:lineRule="auto"/>
        <w:jc w:val="left"/>
        <w:rPr>
          <w:rFonts w:ascii="宋体" w:hAnsi="宋体" w:cs="宋体"/>
          <w:kern w:val="0"/>
          <w:szCs w:val="21"/>
          <w:highlight w:val="none"/>
        </w:rPr>
      </w:pPr>
      <w:r>
        <w:rPr>
          <w:rFonts w:hint="eastAsia" w:ascii="宋体" w:hAnsi="宋体" w:cs="宋体"/>
          <w:kern w:val="0"/>
          <w:szCs w:val="21"/>
          <w:highlight w:val="none"/>
        </w:rPr>
        <w:t>　　（三）为安置的每位残疾人按月足额缴纳了基本养老保险、基本医疗保险、失业保险、工伤保险和生育保险等社会保险费；</w:t>
      </w:r>
    </w:p>
    <w:p w14:paraId="03BC2810">
      <w:pPr>
        <w:widowControl/>
        <w:spacing w:line="360" w:lineRule="auto"/>
        <w:jc w:val="left"/>
        <w:rPr>
          <w:rFonts w:ascii="宋体" w:hAnsi="宋体" w:cs="宋体"/>
          <w:kern w:val="0"/>
          <w:szCs w:val="21"/>
          <w:highlight w:val="none"/>
        </w:rPr>
      </w:pPr>
      <w:r>
        <w:rPr>
          <w:rFonts w:hint="eastAsia" w:ascii="宋体" w:hAnsi="宋体" w:cs="宋体"/>
          <w:kern w:val="0"/>
          <w:szCs w:val="21"/>
          <w:highlight w:val="none"/>
        </w:rPr>
        <w:t>　　（四）通过银行等金融机构向安置的每位残疾人，按月支付了不低于单位所在区县适用的经省级人民政府批准的月最低工资标准的工资；</w:t>
      </w:r>
    </w:p>
    <w:p w14:paraId="1139FF7E">
      <w:pPr>
        <w:widowControl/>
        <w:spacing w:line="360" w:lineRule="auto"/>
        <w:jc w:val="left"/>
        <w:rPr>
          <w:rFonts w:ascii="宋体" w:hAnsi="宋体" w:cs="宋体"/>
          <w:kern w:val="0"/>
          <w:szCs w:val="21"/>
          <w:highlight w:val="none"/>
        </w:rPr>
      </w:pPr>
      <w:r>
        <w:rPr>
          <w:rFonts w:hint="eastAsia" w:ascii="宋体" w:hAnsi="宋体" w:cs="宋体"/>
          <w:kern w:val="0"/>
          <w:szCs w:val="21"/>
          <w:highlight w:val="none"/>
        </w:rPr>
        <w:t>　　（五）提供本单位制造的货物、承担的工程或者服务（以下简称产品），或者提供其他残疾人福利性单位制造的货物（不包括使用非残疾人福利性单位注册商标的货物）。</w:t>
      </w:r>
    </w:p>
    <w:p w14:paraId="6F93E58E">
      <w:pPr>
        <w:widowControl/>
        <w:spacing w:line="360" w:lineRule="auto"/>
        <w:jc w:val="left"/>
        <w:rPr>
          <w:rFonts w:ascii="宋体" w:hAnsi="宋体" w:cs="宋体"/>
          <w:kern w:val="0"/>
          <w:szCs w:val="21"/>
          <w:highlight w:val="none"/>
        </w:rPr>
      </w:pPr>
      <w:r>
        <w:rPr>
          <w:rFonts w:hint="eastAsia" w:ascii="宋体" w:hAnsi="宋体" w:cs="宋体"/>
          <w:kern w:val="0"/>
          <w:szCs w:val="21"/>
          <w:highlight w:val="none"/>
        </w:rPr>
        <w:t>　　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14:paraId="7AF66DCF">
      <w:pPr>
        <w:widowControl/>
        <w:spacing w:line="360" w:lineRule="auto"/>
        <w:jc w:val="left"/>
        <w:rPr>
          <w:rFonts w:ascii="宋体" w:hAnsi="宋体" w:cs="宋体"/>
          <w:kern w:val="0"/>
          <w:szCs w:val="21"/>
          <w:highlight w:val="none"/>
        </w:rPr>
      </w:pPr>
      <w:r>
        <w:rPr>
          <w:rFonts w:hint="eastAsia" w:ascii="宋体" w:hAnsi="宋体" w:cs="宋体"/>
          <w:kern w:val="0"/>
          <w:szCs w:val="21"/>
          <w:highlight w:val="none"/>
        </w:rPr>
        <w:t>　　二、符合条件的残疾人福利性单位在参加政府采购活动时，应当提供本通知规定的《残疾人福利性单位声明函》（见附件），并对声明的真实性负责。任何单位或者个人在政府采购活动中均不得要求残疾人福利性单位提供其他证明声明函内容的材料。</w:t>
      </w:r>
    </w:p>
    <w:p w14:paraId="7669F273">
      <w:pPr>
        <w:widowControl/>
        <w:spacing w:line="360" w:lineRule="auto"/>
        <w:jc w:val="left"/>
        <w:rPr>
          <w:rFonts w:ascii="宋体" w:hAnsi="宋体" w:cs="宋体"/>
          <w:kern w:val="0"/>
          <w:szCs w:val="21"/>
          <w:highlight w:val="none"/>
        </w:rPr>
      </w:pPr>
      <w:r>
        <w:rPr>
          <w:rFonts w:hint="eastAsia" w:ascii="宋体" w:hAnsi="宋体" w:cs="宋体"/>
          <w:kern w:val="0"/>
          <w:szCs w:val="21"/>
          <w:highlight w:val="none"/>
        </w:rPr>
        <w:t>　　中标、成交供应商为残疾人福利性单位的，采购人或者其委托的采购代理机构应当随中标、成交结果同时公告其《残疾人福利性单位声明函》，接受社会监督。</w:t>
      </w:r>
    </w:p>
    <w:p w14:paraId="0C8D915D">
      <w:pPr>
        <w:widowControl/>
        <w:spacing w:line="360" w:lineRule="auto"/>
        <w:jc w:val="left"/>
        <w:rPr>
          <w:rFonts w:ascii="宋体" w:hAnsi="宋体" w:cs="宋体"/>
          <w:kern w:val="0"/>
          <w:szCs w:val="21"/>
          <w:highlight w:val="none"/>
        </w:rPr>
      </w:pPr>
      <w:r>
        <w:rPr>
          <w:rFonts w:hint="eastAsia" w:ascii="宋体" w:hAnsi="宋体" w:cs="宋体"/>
          <w:kern w:val="0"/>
          <w:szCs w:val="21"/>
          <w:highlight w:val="none"/>
        </w:rPr>
        <w:t>　　供应商提供的《残疾人福利性单位声明函》与事实不符的，依照《政府采购法》第七十七条第一款的规定追究法律责任。</w:t>
      </w:r>
    </w:p>
    <w:p w14:paraId="54F6BF00">
      <w:pPr>
        <w:widowControl/>
        <w:spacing w:line="360" w:lineRule="auto"/>
        <w:jc w:val="left"/>
        <w:rPr>
          <w:rFonts w:ascii="宋体" w:hAnsi="宋体" w:cs="宋体"/>
          <w:kern w:val="0"/>
          <w:szCs w:val="21"/>
          <w:highlight w:val="none"/>
        </w:rPr>
      </w:pPr>
      <w:r>
        <w:rPr>
          <w:rFonts w:hint="eastAsia" w:ascii="宋体" w:hAnsi="宋体" w:cs="宋体"/>
          <w:kern w:val="0"/>
          <w:szCs w:val="21"/>
          <w:highlight w:val="none"/>
        </w:rPr>
        <w:t>　　三、在政府采购活动中，残疾人福利性单位视同小型、微型企业，享受预留份额、评审中价格扣除等促进中小企业发展的政府采购政策。向残疾人福利性单位采购的金额，计入面向中小企业采购的统计数据。残疾人福利性单位属于小型、微型企业的，不重复享受政策。</w:t>
      </w:r>
    </w:p>
    <w:p w14:paraId="210FB185">
      <w:pPr>
        <w:widowControl/>
        <w:spacing w:line="360" w:lineRule="auto"/>
        <w:jc w:val="left"/>
        <w:rPr>
          <w:rFonts w:ascii="宋体" w:hAnsi="宋体" w:cs="宋体"/>
          <w:kern w:val="0"/>
          <w:szCs w:val="21"/>
          <w:highlight w:val="none"/>
        </w:rPr>
      </w:pPr>
      <w:r>
        <w:rPr>
          <w:rFonts w:hint="eastAsia" w:ascii="宋体" w:hAnsi="宋体" w:cs="宋体"/>
          <w:kern w:val="0"/>
          <w:szCs w:val="21"/>
          <w:highlight w:val="none"/>
        </w:rPr>
        <w:t>　　四、采购人采购公开招标数额标准以上的货物或者服务，因落实促进残疾人就业政策的需要，依法履行有关报批程序后，可采用公开招标以外的采购方式。</w:t>
      </w:r>
    </w:p>
    <w:p w14:paraId="274D15DC">
      <w:pPr>
        <w:widowControl/>
        <w:spacing w:line="360" w:lineRule="auto"/>
        <w:jc w:val="left"/>
        <w:rPr>
          <w:rFonts w:ascii="宋体" w:hAnsi="宋体" w:cs="宋体"/>
          <w:kern w:val="0"/>
          <w:szCs w:val="21"/>
          <w:highlight w:val="none"/>
        </w:rPr>
      </w:pPr>
      <w:r>
        <w:rPr>
          <w:rFonts w:hint="eastAsia" w:ascii="宋体" w:hAnsi="宋体" w:cs="宋体"/>
          <w:kern w:val="0"/>
          <w:szCs w:val="21"/>
          <w:highlight w:val="none"/>
        </w:rPr>
        <w:t>　　五、对于满足要求的残疾人福利性单位产品，集中采购机构可直接纳入协议供货或者定点采购范围。各地区建设的政府采购电子卖场、电子商城、网上超市等应当设立残疾人福利性单位产品专栏。鼓励采购人优先选择残疾人福利性单位的产品。</w:t>
      </w:r>
    </w:p>
    <w:p w14:paraId="747D553C">
      <w:pPr>
        <w:widowControl/>
        <w:spacing w:line="360" w:lineRule="auto"/>
        <w:jc w:val="left"/>
        <w:rPr>
          <w:rFonts w:ascii="宋体" w:hAnsi="宋体" w:cs="宋体"/>
          <w:kern w:val="0"/>
          <w:szCs w:val="21"/>
          <w:highlight w:val="none"/>
        </w:rPr>
      </w:pPr>
      <w:r>
        <w:rPr>
          <w:rFonts w:hint="eastAsia" w:ascii="宋体" w:hAnsi="宋体" w:cs="宋体"/>
          <w:kern w:val="0"/>
          <w:szCs w:val="21"/>
          <w:highlight w:val="none"/>
        </w:rPr>
        <w:t>　　六、省级财政部门可以结合本地区残疾人生产、经营的实际情况，细化政府采购支持措施。对符合国家有关部门规定条件的残疾人辅助性就业机构，可通过上述措施予以支持。各地制定的有关文件应当报财政部备案。</w:t>
      </w:r>
    </w:p>
    <w:p w14:paraId="2B92F3CE">
      <w:pPr>
        <w:widowControl/>
        <w:spacing w:line="360" w:lineRule="auto"/>
        <w:jc w:val="left"/>
        <w:rPr>
          <w:rFonts w:ascii="宋体" w:hAnsi="宋体" w:cs="宋体"/>
          <w:kern w:val="0"/>
          <w:szCs w:val="21"/>
          <w:highlight w:val="none"/>
        </w:rPr>
      </w:pPr>
      <w:r>
        <w:rPr>
          <w:rFonts w:hint="eastAsia" w:ascii="宋体" w:hAnsi="宋体" w:cs="宋体"/>
          <w:kern w:val="0"/>
          <w:szCs w:val="21"/>
          <w:highlight w:val="none"/>
        </w:rPr>
        <w:t>　　七、本通知自2017年10月1日起执行。</w:t>
      </w:r>
    </w:p>
    <w:p w14:paraId="1D03DD01">
      <w:pPr>
        <w:widowControl/>
        <w:spacing w:line="360" w:lineRule="auto"/>
        <w:jc w:val="left"/>
        <w:rPr>
          <w:rFonts w:ascii="宋体" w:hAnsi="宋体" w:cs="宋体"/>
          <w:kern w:val="0"/>
          <w:szCs w:val="21"/>
          <w:highlight w:val="none"/>
        </w:rPr>
      </w:pPr>
      <w:r>
        <w:rPr>
          <w:rFonts w:ascii="宋体" w:hAnsi="宋体" w:cs="宋体"/>
          <w:kern w:val="0"/>
          <w:szCs w:val="21"/>
          <w:highlight w:val="none"/>
        </w:rPr>
        <w:t>　　</w:t>
      </w:r>
    </w:p>
    <w:p w14:paraId="71A5345D">
      <w:pPr>
        <w:widowControl/>
        <w:spacing w:line="360" w:lineRule="auto"/>
        <w:jc w:val="right"/>
        <w:rPr>
          <w:rFonts w:ascii="宋体" w:hAnsi="宋体" w:cs="宋体"/>
          <w:kern w:val="0"/>
          <w:szCs w:val="21"/>
          <w:highlight w:val="none"/>
        </w:rPr>
      </w:pPr>
      <w:r>
        <w:rPr>
          <w:rFonts w:hint="eastAsia" w:ascii="宋体" w:hAnsi="宋体" w:cs="宋体"/>
          <w:kern w:val="0"/>
          <w:szCs w:val="21"/>
          <w:highlight w:val="none"/>
        </w:rPr>
        <w:t>财政部 民政部 中国残疾人联合会</w:t>
      </w:r>
    </w:p>
    <w:p w14:paraId="44FE52F1">
      <w:pPr>
        <w:widowControl/>
        <w:spacing w:line="360" w:lineRule="auto"/>
        <w:jc w:val="right"/>
        <w:rPr>
          <w:rFonts w:ascii="宋体" w:hAnsi="宋体" w:cs="宋体"/>
          <w:kern w:val="0"/>
          <w:szCs w:val="21"/>
          <w:highlight w:val="none"/>
        </w:rPr>
      </w:pPr>
    </w:p>
    <w:p w14:paraId="0516841C">
      <w:pPr>
        <w:jc w:val="right"/>
        <w:rPr>
          <w:rFonts w:ascii="宋体" w:hAnsi="宋体" w:cs="宋体"/>
          <w:color w:val="000000" w:themeColor="text1"/>
          <w:highlight w:val="none"/>
          <w14:textFill>
            <w14:solidFill>
              <w14:schemeClr w14:val="tx1"/>
            </w14:solidFill>
          </w14:textFill>
        </w:rPr>
      </w:pPr>
      <w:r>
        <w:rPr>
          <w:rFonts w:hint="eastAsia" w:ascii="宋体" w:hAnsi="宋体" w:cs="宋体"/>
          <w:kern w:val="0"/>
          <w:szCs w:val="21"/>
          <w:highlight w:val="none"/>
        </w:rPr>
        <w:t>  2017年8月22日</w:t>
      </w:r>
    </w:p>
    <w:p w14:paraId="461EA6F0">
      <w:pPr>
        <w:numPr>
          <w:ilvl w:val="0"/>
          <w:numId w:val="0"/>
        </w:numPr>
        <w:ind w:leftChars="-432"/>
        <w:rPr>
          <w:rFonts w:hint="eastAsia" w:ascii="宋体" w:hAnsi="宋体" w:eastAsia="宋体" w:cs="宋体"/>
          <w:color w:val="auto"/>
          <w:sz w:val="22"/>
          <w:szCs w:val="22"/>
          <w:highlight w:val="none"/>
        </w:rPr>
      </w:pPr>
    </w:p>
    <w:sectPr>
      <w:headerReference r:id="rId3" w:type="default"/>
      <w:footerReference r:id="rId4" w:type="default"/>
      <w:footerReference r:id="rId5" w:type="even"/>
      <w:pgSz w:w="11907" w:h="16840"/>
      <w:pgMar w:top="1440" w:right="1797" w:bottom="1440" w:left="1797" w:header="851" w:footer="992" w:gutter="0"/>
      <w:pgNumType w:fmt="numberInDash"/>
      <w:cols w:space="720" w:num="1"/>
      <w:titlePg/>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隶书">
    <w:altName w:val="微软雅黑"/>
    <w:panose1 w:val="0201050906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华文中宋">
    <w:altName w:val="宋体"/>
    <w:panose1 w:val="02010600040101010101"/>
    <w:charset w:val="86"/>
    <w:family w:val="auto"/>
    <w:pitch w:val="default"/>
    <w:sig w:usb0="00000000" w:usb1="00000000" w:usb2="00000000" w:usb3="00000000" w:csb0="0004009F" w:csb1="DFD70000"/>
  </w:font>
  <w:font w:name="Monaco">
    <w:panose1 w:val="020B0509030404040204"/>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10006FF" w:usb1="4000205B" w:usb2="00000010" w:usb3="00000000" w:csb0="2000019F" w:csb1="00000000"/>
  </w:font>
  <w:font w:name="Arial Narrow">
    <w:altName w:val="Arial"/>
    <w:panose1 w:val="020B0606020202030204"/>
    <w:charset w:val="00"/>
    <w:family w:val="swiss"/>
    <w:pitch w:val="default"/>
    <w:sig w:usb0="00000000" w:usb1="00000000" w:usb2="00000000" w:usb3="00000000" w:csb0="2000009F" w:csb1="DFD70000"/>
  </w:font>
  <w:font w:name="华文仿宋">
    <w:altName w:val="仿宋"/>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方正仿宋_GBK">
    <w:altName w:val="微软雅黑"/>
    <w:panose1 w:val="02000000000000000000"/>
    <w:charset w:val="86"/>
    <w:family w:val="auto"/>
    <w:pitch w:val="default"/>
    <w:sig w:usb0="00000000" w:usb1="00000000" w:usb2="00000000" w:usb3="00000000" w:csb0="00040000"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21A910">
    <w:pPr>
      <w:pStyle w:val="16"/>
      <w:framePr w:wrap="around" w:vAnchor="text" w:hAnchor="margin" w:xAlign="center" w:y="1"/>
      <w:rPr>
        <w:rStyle w:val="27"/>
      </w:rPr>
    </w:pPr>
    <w:r>
      <w:t xml:space="preserve">- </w:t>
    </w:r>
    <w:r>
      <w:fldChar w:fldCharType="begin"/>
    </w:r>
    <w:r>
      <w:instrText xml:space="preserve"> PAGE </w:instrText>
    </w:r>
    <w:r>
      <w:fldChar w:fldCharType="separate"/>
    </w:r>
    <w:r>
      <w:t>- 15 -</w:t>
    </w:r>
    <w:r>
      <w:fldChar w:fldCharType="end"/>
    </w:r>
    <w:r>
      <w:t xml:space="preserve"> -</w:t>
    </w:r>
  </w:p>
  <w:p w14:paraId="7E6FE8AD">
    <w:pPr>
      <w:pStyle w:val="1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42776D">
    <w:pPr>
      <w:pStyle w:val="16"/>
      <w:framePr w:wrap="around" w:vAnchor="text" w:hAnchor="margin" w:xAlign="center" w:y="1"/>
      <w:rPr>
        <w:rStyle w:val="27"/>
      </w:rPr>
    </w:pPr>
    <w:r>
      <w:fldChar w:fldCharType="begin"/>
    </w:r>
    <w:r>
      <w:rPr>
        <w:rStyle w:val="27"/>
      </w:rPr>
      <w:instrText xml:space="preserve">PAGE  </w:instrText>
    </w:r>
    <w:r>
      <w:fldChar w:fldCharType="end"/>
    </w:r>
  </w:p>
  <w:p w14:paraId="0C8831E1">
    <w:pPr>
      <w:pStyle w:val="1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C4F05A">
    <w:pPr>
      <w:pStyle w:val="17"/>
      <w:pBdr>
        <w:bottom w:val="single" w:color="auto" w:sz="4"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E94BB8"/>
    <w:multiLevelType w:val="singleLevel"/>
    <w:tmpl w:val="85E94BB8"/>
    <w:lvl w:ilvl="0" w:tentative="0">
      <w:start w:val="1"/>
      <w:numFmt w:val="decimal"/>
      <w:suff w:val="nothing"/>
      <w:lvlText w:val="%1．"/>
      <w:lvlJc w:val="left"/>
      <w:pPr>
        <w:ind w:left="0" w:firstLine="0"/>
      </w:pPr>
      <w:rPr>
        <w:rFonts w:hint="default" w:ascii="宋体" w:hAnsi="宋体" w:cs="宋体"/>
        <w:sz w:val="22"/>
        <w:szCs w:val="22"/>
      </w:rPr>
    </w:lvl>
  </w:abstractNum>
  <w:abstractNum w:abstractNumId="1">
    <w:nsid w:val="897A68F0"/>
    <w:multiLevelType w:val="singleLevel"/>
    <w:tmpl w:val="897A68F0"/>
    <w:lvl w:ilvl="0" w:tentative="0">
      <w:start w:val="1"/>
      <w:numFmt w:val="decimal"/>
      <w:lvlText w:val="(%1)"/>
      <w:lvlJc w:val="left"/>
      <w:pPr>
        <w:tabs>
          <w:tab w:val="left" w:pos="0"/>
        </w:tabs>
        <w:ind w:left="0" w:firstLine="0"/>
      </w:pPr>
      <w:rPr>
        <w:rFonts w:hint="default"/>
      </w:rPr>
    </w:lvl>
  </w:abstractNum>
  <w:abstractNum w:abstractNumId="2">
    <w:nsid w:val="B7F29D3F"/>
    <w:multiLevelType w:val="singleLevel"/>
    <w:tmpl w:val="B7F29D3F"/>
    <w:lvl w:ilvl="0" w:tentative="0">
      <w:start w:val="1"/>
      <w:numFmt w:val="chineseCounting"/>
      <w:suff w:val="nothing"/>
      <w:lvlText w:val="%1、"/>
      <w:lvlJc w:val="left"/>
      <w:pPr>
        <w:ind w:left="0" w:firstLine="420"/>
      </w:pPr>
      <w:rPr>
        <w:rFonts w:hint="eastAsia"/>
      </w:rPr>
    </w:lvl>
  </w:abstractNum>
  <w:abstractNum w:abstractNumId="3">
    <w:nsid w:val="CEC97EAB"/>
    <w:multiLevelType w:val="singleLevel"/>
    <w:tmpl w:val="CEC97EAB"/>
    <w:lvl w:ilvl="0" w:tentative="0">
      <w:start w:val="1"/>
      <w:numFmt w:val="chineseCounting"/>
      <w:suff w:val="nothing"/>
      <w:lvlText w:val="%1、"/>
      <w:lvlJc w:val="left"/>
      <w:rPr>
        <w:rFonts w:hint="eastAsia"/>
      </w:rPr>
    </w:lvl>
  </w:abstractNum>
  <w:abstractNum w:abstractNumId="4">
    <w:nsid w:val="DC73F8B9"/>
    <w:multiLevelType w:val="singleLevel"/>
    <w:tmpl w:val="DC73F8B9"/>
    <w:lvl w:ilvl="0" w:tentative="0">
      <w:start w:val="1"/>
      <w:numFmt w:val="decimal"/>
      <w:lvlText w:val="%1."/>
      <w:lvlJc w:val="left"/>
      <w:pPr>
        <w:ind w:left="425" w:hanging="425"/>
      </w:pPr>
      <w:rPr>
        <w:rFonts w:hint="default"/>
      </w:rPr>
    </w:lvl>
  </w:abstractNum>
  <w:abstractNum w:abstractNumId="5">
    <w:nsid w:val="0000000B"/>
    <w:multiLevelType w:val="singleLevel"/>
    <w:tmpl w:val="0000000B"/>
    <w:lvl w:ilvl="0" w:tentative="0">
      <w:start w:val="1"/>
      <w:numFmt w:val="decimal"/>
      <w:lvlText w:val="(%1)"/>
      <w:lvlJc w:val="left"/>
      <w:pPr>
        <w:tabs>
          <w:tab w:val="left" w:pos="0"/>
        </w:tabs>
        <w:ind w:left="0" w:firstLine="0"/>
      </w:pPr>
      <w:rPr>
        <w:rFonts w:hint="default"/>
      </w:rPr>
    </w:lvl>
  </w:abstractNum>
  <w:abstractNum w:abstractNumId="6">
    <w:nsid w:val="0F3C579C"/>
    <w:multiLevelType w:val="singleLevel"/>
    <w:tmpl w:val="0F3C579C"/>
    <w:lvl w:ilvl="0" w:tentative="0">
      <w:start w:val="2"/>
      <w:numFmt w:val="chineseCounting"/>
      <w:suff w:val="nothing"/>
      <w:lvlText w:val="（%1）"/>
      <w:lvlJc w:val="left"/>
      <w:rPr>
        <w:rFonts w:hint="eastAsia"/>
      </w:rPr>
    </w:lvl>
  </w:abstractNum>
  <w:abstractNum w:abstractNumId="7">
    <w:nsid w:val="3693089E"/>
    <w:multiLevelType w:val="singleLevel"/>
    <w:tmpl w:val="3693089E"/>
    <w:lvl w:ilvl="0" w:tentative="0">
      <w:start w:val="1"/>
      <w:numFmt w:val="chineseCounting"/>
      <w:suff w:val="nothing"/>
      <w:lvlText w:val="%1、"/>
      <w:lvlJc w:val="left"/>
      <w:pPr>
        <w:ind w:left="0" w:firstLine="420"/>
      </w:pPr>
      <w:rPr>
        <w:rFonts w:hint="eastAsia"/>
      </w:rPr>
    </w:lvl>
  </w:abstractNum>
  <w:abstractNum w:abstractNumId="8">
    <w:nsid w:val="3EC84A5C"/>
    <w:multiLevelType w:val="multilevel"/>
    <w:tmpl w:val="3EC84A5C"/>
    <w:lvl w:ilvl="0" w:tentative="0">
      <w:start w:val="1"/>
      <w:numFmt w:val="decimal"/>
      <w:lvlText w:val="%1."/>
      <w:lvlJc w:val="left"/>
      <w:pPr>
        <w:tabs>
          <w:tab w:val="left" w:pos="907"/>
        </w:tabs>
        <w:ind w:left="907" w:hanging="907"/>
      </w:pPr>
      <w:rPr>
        <w:rFonts w:hint="default" w:ascii="Times New Roman" w:hAnsi="Times New Roman" w:cs="Times New Roman"/>
      </w:rPr>
    </w:lvl>
    <w:lvl w:ilvl="1" w:tentative="0">
      <w:start w:val="1"/>
      <w:numFmt w:val="decimal"/>
      <w:lvlText w:val="%1.%2."/>
      <w:lvlJc w:val="left"/>
      <w:pPr>
        <w:ind w:left="907" w:firstLine="0"/>
      </w:pPr>
      <w:rPr>
        <w:rFonts w:hint="eastAsia"/>
      </w:rPr>
    </w:lvl>
    <w:lvl w:ilvl="2" w:tentative="0">
      <w:start w:val="1"/>
      <w:numFmt w:val="decimal"/>
      <w:lvlText w:val="%1.%2.%3."/>
      <w:lvlJc w:val="left"/>
      <w:pPr>
        <w:ind w:left="1814" w:firstLine="0"/>
      </w:pPr>
      <w:rPr>
        <w:rFonts w:hint="eastAsia"/>
      </w:rPr>
    </w:lvl>
    <w:lvl w:ilvl="3" w:tentative="0">
      <w:start w:val="1"/>
      <w:numFmt w:val="decimal"/>
      <w:lvlText w:val="%1.%2.%3.%4."/>
      <w:lvlJc w:val="left"/>
      <w:pPr>
        <w:ind w:left="2721" w:firstLine="0"/>
      </w:pPr>
      <w:rPr>
        <w:rFonts w:hint="eastAsia"/>
      </w:rPr>
    </w:lvl>
    <w:lvl w:ilvl="4" w:tentative="0">
      <w:start w:val="1"/>
      <w:numFmt w:val="decimal"/>
      <w:lvlText w:val="%1.%2.%3.%4.%5."/>
      <w:lvlJc w:val="left"/>
      <w:pPr>
        <w:ind w:left="3628" w:firstLine="0"/>
      </w:pPr>
      <w:rPr>
        <w:rFonts w:hint="eastAsia"/>
      </w:rPr>
    </w:lvl>
    <w:lvl w:ilvl="5" w:tentative="0">
      <w:start w:val="1"/>
      <w:numFmt w:val="decimal"/>
      <w:lvlText w:val="%1.%2.%3.%4.%5.%6."/>
      <w:lvlJc w:val="left"/>
      <w:pPr>
        <w:ind w:left="4535" w:firstLine="0"/>
      </w:pPr>
      <w:rPr>
        <w:rFonts w:hint="eastAsia"/>
      </w:rPr>
    </w:lvl>
    <w:lvl w:ilvl="6" w:tentative="0">
      <w:start w:val="1"/>
      <w:numFmt w:val="decimal"/>
      <w:lvlText w:val="%1.%2.%3.%4.%5.%6.%7."/>
      <w:lvlJc w:val="left"/>
      <w:pPr>
        <w:ind w:left="5442" w:firstLine="0"/>
      </w:pPr>
      <w:rPr>
        <w:rFonts w:hint="eastAsia"/>
      </w:rPr>
    </w:lvl>
    <w:lvl w:ilvl="7" w:tentative="0">
      <w:start w:val="1"/>
      <w:numFmt w:val="decimal"/>
      <w:lvlText w:val="%1.%2.%3.%4.%5.%6.%7.%8."/>
      <w:lvlJc w:val="left"/>
      <w:pPr>
        <w:ind w:left="6349" w:firstLine="0"/>
      </w:pPr>
      <w:rPr>
        <w:rFonts w:hint="eastAsia"/>
      </w:rPr>
    </w:lvl>
    <w:lvl w:ilvl="8" w:tentative="0">
      <w:start w:val="1"/>
      <w:numFmt w:val="decimal"/>
      <w:lvlText w:val="%1.%2.%3.%4.%5.%6.%7.%8.%9."/>
      <w:lvlJc w:val="left"/>
      <w:pPr>
        <w:ind w:left="7256" w:firstLine="0"/>
      </w:pPr>
      <w:rPr>
        <w:rFonts w:hint="eastAsia"/>
      </w:rPr>
    </w:lvl>
  </w:abstractNum>
  <w:abstractNum w:abstractNumId="9">
    <w:nsid w:val="40A41628"/>
    <w:multiLevelType w:val="multilevel"/>
    <w:tmpl w:val="40A41628"/>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63B90968"/>
    <w:multiLevelType w:val="multilevel"/>
    <w:tmpl w:val="63B90968"/>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792AAD52"/>
    <w:multiLevelType w:val="singleLevel"/>
    <w:tmpl w:val="792AAD52"/>
    <w:lvl w:ilvl="0" w:tentative="0">
      <w:start w:val="1"/>
      <w:numFmt w:val="decimal"/>
      <w:lvlText w:val="%1."/>
      <w:lvlJc w:val="left"/>
      <w:pPr>
        <w:ind w:left="425" w:hanging="425"/>
      </w:pPr>
      <w:rPr>
        <w:rFonts w:hint="default"/>
      </w:rPr>
    </w:lvl>
  </w:abstractNum>
  <w:num w:numId="1">
    <w:abstractNumId w:val="10"/>
  </w:num>
  <w:num w:numId="2">
    <w:abstractNumId w:val="9"/>
  </w:num>
  <w:num w:numId="3">
    <w:abstractNumId w:val="6"/>
  </w:num>
  <w:num w:numId="4">
    <w:abstractNumId w:val="0"/>
  </w:num>
  <w:num w:numId="5">
    <w:abstractNumId w:val="1"/>
  </w:num>
  <w:num w:numId="6">
    <w:abstractNumId w:val="5"/>
  </w:num>
  <w:num w:numId="7">
    <w:abstractNumId w:val="2"/>
  </w:num>
  <w:num w:numId="8">
    <w:abstractNumId w:val="4"/>
  </w:num>
  <w:num w:numId="9">
    <w:abstractNumId w:val="11"/>
  </w:num>
  <w:num w:numId="10">
    <w:abstractNumId w:val="7"/>
  </w:num>
  <w:num w:numId="11">
    <w:abstractNumId w:val="8"/>
  </w:num>
  <w:num w:numId="12">
    <w:abstractNumId w:val="8"/>
    <w:lvlOverride w:ilvl="0">
      <w:lvl w:ilvl="0" w:tentative="1">
        <w:start w:val="1"/>
        <w:numFmt w:val="decimal"/>
        <w:lvlText w:val="%1."/>
        <w:lvlJc w:val="left"/>
        <w:pPr>
          <w:tabs>
            <w:tab w:val="left" w:pos="907"/>
          </w:tabs>
          <w:ind w:left="907" w:hanging="907"/>
        </w:pPr>
        <w:rPr>
          <w:rFonts w:hint="eastAsia"/>
        </w:rPr>
      </w:lvl>
    </w:lvlOverride>
    <w:lvlOverride w:ilvl="1">
      <w:lvl w:ilvl="1" w:tentative="1">
        <w:start w:val="1"/>
        <w:numFmt w:val="decimal"/>
        <w:lvlText w:val="%1.%2."/>
        <w:lvlJc w:val="left"/>
        <w:pPr>
          <w:tabs>
            <w:tab w:val="left" w:pos="907"/>
          </w:tabs>
          <w:ind w:left="907" w:hanging="907"/>
        </w:pPr>
        <w:rPr>
          <w:rFonts w:hint="default" w:ascii="Times New Roman" w:hAnsi="Times New Roman" w:cs="Times New Roman"/>
          <w:b w:val="0"/>
        </w:rPr>
      </w:lvl>
    </w:lvlOverride>
    <w:lvlOverride w:ilvl="2">
      <w:lvl w:ilvl="2" w:tentative="1">
        <w:start w:val="1"/>
        <w:numFmt w:val="decimal"/>
        <w:lvlText w:val="%1.%2.%3."/>
        <w:lvlJc w:val="left"/>
        <w:pPr>
          <w:ind w:left="1814" w:firstLine="0"/>
        </w:pPr>
        <w:rPr>
          <w:rFonts w:hint="eastAsia"/>
        </w:rPr>
      </w:lvl>
    </w:lvlOverride>
    <w:lvlOverride w:ilvl="3">
      <w:lvl w:ilvl="3" w:tentative="1">
        <w:start w:val="1"/>
        <w:numFmt w:val="decimal"/>
        <w:lvlText w:val="%1.%2.%3.%4."/>
        <w:lvlJc w:val="left"/>
        <w:pPr>
          <w:ind w:left="2721" w:firstLine="0"/>
        </w:pPr>
        <w:rPr>
          <w:rFonts w:hint="eastAsia"/>
        </w:rPr>
      </w:lvl>
    </w:lvlOverride>
    <w:lvlOverride w:ilvl="4">
      <w:lvl w:ilvl="4" w:tentative="1">
        <w:start w:val="1"/>
        <w:numFmt w:val="decimal"/>
        <w:lvlText w:val="%1.%2.%3.%4.%5."/>
        <w:lvlJc w:val="left"/>
        <w:pPr>
          <w:ind w:left="3628" w:firstLine="0"/>
        </w:pPr>
        <w:rPr>
          <w:rFonts w:hint="eastAsia"/>
        </w:rPr>
      </w:lvl>
    </w:lvlOverride>
    <w:lvlOverride w:ilvl="5">
      <w:lvl w:ilvl="5" w:tentative="1">
        <w:start w:val="1"/>
        <w:numFmt w:val="decimal"/>
        <w:lvlText w:val="%1.%2.%3.%4.%5.%6."/>
        <w:lvlJc w:val="left"/>
        <w:pPr>
          <w:ind w:left="4535" w:firstLine="0"/>
        </w:pPr>
        <w:rPr>
          <w:rFonts w:hint="eastAsia"/>
        </w:rPr>
      </w:lvl>
    </w:lvlOverride>
    <w:lvlOverride w:ilvl="6">
      <w:lvl w:ilvl="6" w:tentative="1">
        <w:start w:val="1"/>
        <w:numFmt w:val="decimal"/>
        <w:lvlText w:val="%1.%2.%3.%4.%5.%6.%7."/>
        <w:lvlJc w:val="left"/>
        <w:pPr>
          <w:ind w:left="5442" w:firstLine="0"/>
        </w:pPr>
        <w:rPr>
          <w:rFonts w:hint="eastAsia"/>
        </w:rPr>
      </w:lvl>
    </w:lvlOverride>
    <w:lvlOverride w:ilvl="7">
      <w:lvl w:ilvl="7" w:tentative="1">
        <w:start w:val="1"/>
        <w:numFmt w:val="decimal"/>
        <w:lvlText w:val="%1.%2.%3.%4.%5.%6.%7.%8."/>
        <w:lvlJc w:val="left"/>
        <w:pPr>
          <w:ind w:left="6349" w:firstLine="0"/>
        </w:pPr>
        <w:rPr>
          <w:rFonts w:hint="eastAsia"/>
        </w:rPr>
      </w:lvl>
    </w:lvlOverride>
    <w:lvlOverride w:ilvl="8">
      <w:lvl w:ilvl="8" w:tentative="1">
        <w:start w:val="1"/>
        <w:numFmt w:val="decimal"/>
        <w:lvlText w:val="%1.%2.%3.%4.%5.%6.%7.%8.%9."/>
        <w:lvlJc w:val="left"/>
        <w:pPr>
          <w:ind w:left="7256" w:firstLine="0"/>
        </w:pPr>
        <w:rPr>
          <w:rFonts w:hint="eastAsia"/>
        </w:rPr>
      </w:lvl>
    </w:lvlOverride>
  </w:num>
  <w:num w:numId="13">
    <w:abstractNumId w:val="8"/>
    <w:lvlOverride w:ilvl="0">
      <w:lvl w:ilvl="0" w:tentative="1">
        <w:start w:val="1"/>
        <w:numFmt w:val="decimal"/>
        <w:lvlText w:val="%1."/>
        <w:lvlJc w:val="left"/>
        <w:pPr>
          <w:tabs>
            <w:tab w:val="left" w:pos="907"/>
          </w:tabs>
          <w:ind w:left="907" w:hanging="907"/>
        </w:pPr>
        <w:rPr>
          <w:rFonts w:hint="eastAsia"/>
        </w:rPr>
      </w:lvl>
    </w:lvlOverride>
    <w:lvlOverride w:ilvl="1">
      <w:lvl w:ilvl="1" w:tentative="1">
        <w:start w:val="1"/>
        <w:numFmt w:val="decimal"/>
        <w:lvlText w:val="%1.%2."/>
        <w:lvlJc w:val="left"/>
        <w:pPr>
          <w:tabs>
            <w:tab w:val="left" w:pos="907"/>
          </w:tabs>
          <w:ind w:left="907" w:hanging="907"/>
        </w:pPr>
        <w:rPr>
          <w:rFonts w:hint="eastAsia"/>
        </w:rPr>
      </w:lvl>
    </w:lvlOverride>
    <w:lvlOverride w:ilvl="2">
      <w:lvl w:ilvl="2" w:tentative="1">
        <w:start w:val="1"/>
        <w:numFmt w:val="decimal"/>
        <w:lvlText w:val="%1.%2.%3."/>
        <w:lvlJc w:val="left"/>
        <w:pPr>
          <w:tabs>
            <w:tab w:val="left" w:pos="907"/>
          </w:tabs>
          <w:ind w:left="907" w:hanging="907"/>
        </w:pPr>
        <w:rPr>
          <w:rFonts w:hint="eastAsia"/>
        </w:rPr>
      </w:lvl>
    </w:lvlOverride>
    <w:lvlOverride w:ilvl="3">
      <w:lvl w:ilvl="3" w:tentative="1">
        <w:start w:val="1"/>
        <w:numFmt w:val="decimal"/>
        <w:lvlText w:val="%1.%2.%3.%4."/>
        <w:lvlJc w:val="left"/>
        <w:pPr>
          <w:ind w:left="2721" w:firstLine="0"/>
        </w:pPr>
        <w:rPr>
          <w:rFonts w:hint="eastAsia"/>
        </w:rPr>
      </w:lvl>
    </w:lvlOverride>
    <w:lvlOverride w:ilvl="4">
      <w:lvl w:ilvl="4" w:tentative="1">
        <w:start w:val="1"/>
        <w:numFmt w:val="decimal"/>
        <w:lvlText w:val="%1.%2.%3.%4.%5."/>
        <w:lvlJc w:val="left"/>
        <w:pPr>
          <w:ind w:left="3628" w:firstLine="0"/>
        </w:pPr>
        <w:rPr>
          <w:rFonts w:hint="eastAsia"/>
        </w:rPr>
      </w:lvl>
    </w:lvlOverride>
    <w:lvlOverride w:ilvl="5">
      <w:lvl w:ilvl="5" w:tentative="1">
        <w:start w:val="1"/>
        <w:numFmt w:val="decimal"/>
        <w:lvlText w:val="%1.%2.%3.%4.%5.%6."/>
        <w:lvlJc w:val="left"/>
        <w:pPr>
          <w:ind w:left="4535" w:firstLine="0"/>
        </w:pPr>
        <w:rPr>
          <w:rFonts w:hint="eastAsia"/>
        </w:rPr>
      </w:lvl>
    </w:lvlOverride>
    <w:lvlOverride w:ilvl="6">
      <w:lvl w:ilvl="6" w:tentative="1">
        <w:start w:val="1"/>
        <w:numFmt w:val="decimal"/>
        <w:lvlText w:val="%1.%2.%3.%4.%5.%6.%7."/>
        <w:lvlJc w:val="left"/>
        <w:pPr>
          <w:ind w:left="5442" w:firstLine="0"/>
        </w:pPr>
        <w:rPr>
          <w:rFonts w:hint="eastAsia"/>
        </w:rPr>
      </w:lvl>
    </w:lvlOverride>
    <w:lvlOverride w:ilvl="7">
      <w:lvl w:ilvl="7" w:tentative="1">
        <w:start w:val="1"/>
        <w:numFmt w:val="decimal"/>
        <w:lvlText w:val="%1.%2.%3.%4.%5.%6.%7.%8."/>
        <w:lvlJc w:val="left"/>
        <w:pPr>
          <w:ind w:left="6349" w:firstLine="0"/>
        </w:pPr>
        <w:rPr>
          <w:rFonts w:hint="eastAsia"/>
        </w:rPr>
      </w:lvl>
    </w:lvlOverride>
    <w:lvlOverride w:ilvl="8">
      <w:lvl w:ilvl="8" w:tentative="1">
        <w:start w:val="1"/>
        <w:numFmt w:val="decimal"/>
        <w:lvlText w:val="%1.%2.%3.%4.%5.%6.%7.%8.%9."/>
        <w:lvlJc w:val="left"/>
        <w:pPr>
          <w:ind w:left="7256" w:firstLine="0"/>
        </w:pPr>
        <w:rPr>
          <w:rFonts w:hint="eastAsia"/>
        </w:rPr>
      </w:lvl>
    </w:lvlOverride>
  </w:num>
  <w:num w:numId="14">
    <w:abstractNumId w:val="8"/>
    <w:lvlOverride w:ilvl="0">
      <w:lvl w:ilvl="0" w:tentative="1">
        <w:start w:val="1"/>
        <w:numFmt w:val="decimal"/>
        <w:lvlText w:val="%1."/>
        <w:lvlJc w:val="left"/>
        <w:pPr>
          <w:tabs>
            <w:tab w:val="left" w:pos="907"/>
          </w:tabs>
          <w:ind w:left="907" w:hanging="907"/>
        </w:pPr>
        <w:rPr>
          <w:rFonts w:hint="eastAsia"/>
        </w:rPr>
      </w:lvl>
    </w:lvlOverride>
    <w:lvlOverride w:ilvl="1">
      <w:lvl w:ilvl="1" w:tentative="1">
        <w:start w:val="1"/>
        <w:numFmt w:val="decimal"/>
        <w:lvlText w:val="%1.%2."/>
        <w:lvlJc w:val="left"/>
        <w:pPr>
          <w:tabs>
            <w:tab w:val="left" w:pos="907"/>
          </w:tabs>
          <w:ind w:left="907" w:hanging="907"/>
        </w:pPr>
        <w:rPr>
          <w:rFonts w:hint="eastAsia"/>
        </w:rPr>
      </w:lvl>
    </w:lvlOverride>
    <w:lvlOverride w:ilvl="2">
      <w:lvl w:ilvl="2" w:tentative="1">
        <w:start w:val="1"/>
        <w:numFmt w:val="decimal"/>
        <w:lvlText w:val="%1.%2.%3."/>
        <w:lvlJc w:val="left"/>
        <w:pPr>
          <w:tabs>
            <w:tab w:val="left" w:pos="907"/>
          </w:tabs>
          <w:ind w:left="907" w:hanging="907"/>
        </w:pPr>
        <w:rPr>
          <w:rFonts w:hint="eastAsia"/>
        </w:rPr>
      </w:lvl>
    </w:lvlOverride>
    <w:lvlOverride w:ilvl="3">
      <w:lvl w:ilvl="3" w:tentative="1">
        <w:start w:val="1"/>
        <w:numFmt w:val="decimal"/>
        <w:lvlText w:val="%1.%2.%3.%4."/>
        <w:lvlJc w:val="left"/>
        <w:pPr>
          <w:tabs>
            <w:tab w:val="left" w:pos="907"/>
          </w:tabs>
          <w:ind w:left="907" w:hanging="907"/>
        </w:pPr>
        <w:rPr>
          <w:rFonts w:hint="eastAsia"/>
        </w:rPr>
      </w:lvl>
    </w:lvlOverride>
    <w:lvlOverride w:ilvl="4">
      <w:lvl w:ilvl="4" w:tentative="1">
        <w:start w:val="1"/>
        <w:numFmt w:val="decimal"/>
        <w:lvlText w:val="%1.%2.%3.%4.%5."/>
        <w:lvlJc w:val="left"/>
        <w:pPr>
          <w:ind w:left="3628" w:firstLine="0"/>
        </w:pPr>
        <w:rPr>
          <w:rFonts w:hint="eastAsia"/>
        </w:rPr>
      </w:lvl>
    </w:lvlOverride>
    <w:lvlOverride w:ilvl="5">
      <w:lvl w:ilvl="5" w:tentative="1">
        <w:start w:val="1"/>
        <w:numFmt w:val="decimal"/>
        <w:lvlText w:val="%1.%2.%3.%4.%5.%6."/>
        <w:lvlJc w:val="left"/>
        <w:pPr>
          <w:ind w:left="4535" w:firstLine="0"/>
        </w:pPr>
        <w:rPr>
          <w:rFonts w:hint="eastAsia"/>
        </w:rPr>
      </w:lvl>
    </w:lvlOverride>
    <w:lvlOverride w:ilvl="6">
      <w:lvl w:ilvl="6" w:tentative="1">
        <w:start w:val="1"/>
        <w:numFmt w:val="decimal"/>
        <w:lvlText w:val="%1.%2.%3.%4.%5.%6.%7."/>
        <w:lvlJc w:val="left"/>
        <w:pPr>
          <w:ind w:left="5442" w:firstLine="0"/>
        </w:pPr>
        <w:rPr>
          <w:rFonts w:hint="eastAsia"/>
        </w:rPr>
      </w:lvl>
    </w:lvlOverride>
    <w:lvlOverride w:ilvl="7">
      <w:lvl w:ilvl="7" w:tentative="1">
        <w:start w:val="1"/>
        <w:numFmt w:val="decimal"/>
        <w:lvlText w:val="%1.%2.%3.%4.%5.%6.%7.%8."/>
        <w:lvlJc w:val="left"/>
        <w:pPr>
          <w:ind w:left="6349" w:firstLine="0"/>
        </w:pPr>
        <w:rPr>
          <w:rFonts w:hint="eastAsia"/>
        </w:rPr>
      </w:lvl>
    </w:lvlOverride>
    <w:lvlOverride w:ilvl="8">
      <w:lvl w:ilvl="8" w:tentative="1">
        <w:start w:val="1"/>
        <w:numFmt w:val="decimal"/>
        <w:lvlText w:val="%1.%2.%3.%4.%5.%6.%7.%8.%9."/>
        <w:lvlJc w:val="left"/>
        <w:pPr>
          <w:ind w:left="7256" w:firstLine="0"/>
        </w:pPr>
        <w:rPr>
          <w:rFonts w:hint="eastAsia"/>
        </w:rPr>
      </w:lvl>
    </w:lvlOverride>
  </w:num>
  <w:num w:numId="15">
    <w:abstractNumId w:val="8"/>
    <w:lvlOverride w:ilvl="0">
      <w:lvl w:ilvl="0" w:tentative="1">
        <w:start w:val="1"/>
        <w:numFmt w:val="decimal"/>
        <w:lvlText w:val="%1."/>
        <w:lvlJc w:val="left"/>
        <w:pPr>
          <w:tabs>
            <w:tab w:val="left" w:pos="907"/>
          </w:tabs>
          <w:ind w:left="907" w:hanging="907"/>
        </w:pPr>
        <w:rPr>
          <w:rFonts w:hint="eastAsia"/>
        </w:rPr>
      </w:lvl>
    </w:lvlOverride>
    <w:lvlOverride w:ilvl="1">
      <w:lvl w:ilvl="1" w:tentative="1">
        <w:start w:val="1"/>
        <w:numFmt w:val="decimal"/>
        <w:lvlText w:val="%1.%2."/>
        <w:lvlJc w:val="left"/>
        <w:pPr>
          <w:tabs>
            <w:tab w:val="left" w:pos="907"/>
          </w:tabs>
          <w:ind w:left="907" w:hanging="907"/>
        </w:pPr>
        <w:rPr>
          <w:rFonts w:hint="eastAsia"/>
        </w:rPr>
      </w:lvl>
    </w:lvlOverride>
    <w:lvlOverride w:ilvl="2">
      <w:lvl w:ilvl="2" w:tentative="1">
        <w:start w:val="1"/>
        <w:numFmt w:val="decimal"/>
        <w:lvlText w:val="%1.%2.%3."/>
        <w:lvlJc w:val="left"/>
        <w:pPr>
          <w:tabs>
            <w:tab w:val="left" w:pos="907"/>
          </w:tabs>
          <w:ind w:left="907" w:hanging="907"/>
        </w:pPr>
        <w:rPr>
          <w:rFonts w:hint="default" w:ascii="Times New Roman" w:hAnsi="Times New Roman" w:cs="Times New Roman"/>
        </w:rPr>
      </w:lvl>
    </w:lvlOverride>
    <w:lvlOverride w:ilvl="3">
      <w:lvl w:ilvl="3" w:tentative="1">
        <w:start w:val="1"/>
        <w:numFmt w:val="decimal"/>
        <w:lvlText w:val="%1.%2.%3.%4."/>
        <w:lvlJc w:val="left"/>
        <w:pPr>
          <w:ind w:left="2721" w:firstLine="0"/>
        </w:pPr>
        <w:rPr>
          <w:rFonts w:hint="eastAsia"/>
        </w:rPr>
      </w:lvl>
    </w:lvlOverride>
    <w:lvlOverride w:ilvl="4">
      <w:lvl w:ilvl="4" w:tentative="1">
        <w:start w:val="1"/>
        <w:numFmt w:val="decimal"/>
        <w:lvlText w:val="%1.%2.%3.%4.%5."/>
        <w:lvlJc w:val="left"/>
        <w:pPr>
          <w:ind w:left="3628" w:firstLine="0"/>
        </w:pPr>
        <w:rPr>
          <w:rFonts w:hint="eastAsia"/>
        </w:rPr>
      </w:lvl>
    </w:lvlOverride>
    <w:lvlOverride w:ilvl="5">
      <w:lvl w:ilvl="5" w:tentative="1">
        <w:start w:val="1"/>
        <w:numFmt w:val="decimal"/>
        <w:lvlText w:val="%1.%2.%3.%4.%5.%6."/>
        <w:lvlJc w:val="left"/>
        <w:pPr>
          <w:ind w:left="4535" w:firstLine="0"/>
        </w:pPr>
        <w:rPr>
          <w:rFonts w:hint="eastAsia"/>
        </w:rPr>
      </w:lvl>
    </w:lvlOverride>
    <w:lvlOverride w:ilvl="6">
      <w:lvl w:ilvl="6" w:tentative="1">
        <w:start w:val="1"/>
        <w:numFmt w:val="decimal"/>
        <w:lvlText w:val="%1.%2.%3.%4.%5.%6.%7."/>
        <w:lvlJc w:val="left"/>
        <w:pPr>
          <w:ind w:left="5442" w:firstLine="0"/>
        </w:pPr>
        <w:rPr>
          <w:rFonts w:hint="eastAsia"/>
        </w:rPr>
      </w:lvl>
    </w:lvlOverride>
    <w:lvlOverride w:ilvl="7">
      <w:lvl w:ilvl="7" w:tentative="1">
        <w:start w:val="1"/>
        <w:numFmt w:val="decimal"/>
        <w:lvlText w:val="%1.%2.%3.%4.%5.%6.%7.%8."/>
        <w:lvlJc w:val="left"/>
        <w:pPr>
          <w:ind w:left="6349" w:firstLine="0"/>
        </w:pPr>
        <w:rPr>
          <w:rFonts w:hint="eastAsia"/>
        </w:rPr>
      </w:lvl>
    </w:lvlOverride>
    <w:lvlOverride w:ilvl="8">
      <w:lvl w:ilvl="8" w:tentative="1">
        <w:start w:val="1"/>
        <w:numFmt w:val="decimal"/>
        <w:lvlText w:val="%1.%2.%3.%4.%5.%6.%7.%8.%9."/>
        <w:lvlJc w:val="left"/>
        <w:pPr>
          <w:ind w:left="7256" w:firstLine="0"/>
        </w:pPr>
        <w:rPr>
          <w:rFonts w:hint="eastAsia"/>
        </w:rPr>
      </w:lvl>
    </w:lvlOverride>
  </w:num>
  <w:num w:numId="16">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Li">
    <w15:presenceInfo w15:providerId="None" w15:userId="L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ZjYzc2ZTdlNmVmOWE5YzhlMTI3Zjg0ZDVkZDc5YTcifQ=="/>
  </w:docVars>
  <w:rsids>
    <w:rsidRoot w:val="111F1C12"/>
    <w:rsid w:val="00014A79"/>
    <w:rsid w:val="00026A2D"/>
    <w:rsid w:val="00056264"/>
    <w:rsid w:val="00077055"/>
    <w:rsid w:val="00091E22"/>
    <w:rsid w:val="000947FC"/>
    <w:rsid w:val="000B73DB"/>
    <w:rsid w:val="001017E5"/>
    <w:rsid w:val="001064AC"/>
    <w:rsid w:val="00125E13"/>
    <w:rsid w:val="0013006D"/>
    <w:rsid w:val="0013426D"/>
    <w:rsid w:val="00145826"/>
    <w:rsid w:val="00192E06"/>
    <w:rsid w:val="001A55AD"/>
    <w:rsid w:val="001B7DF7"/>
    <w:rsid w:val="001D1800"/>
    <w:rsid w:val="001D4DB9"/>
    <w:rsid w:val="001E6B2E"/>
    <w:rsid w:val="00205435"/>
    <w:rsid w:val="002106D2"/>
    <w:rsid w:val="00216CF5"/>
    <w:rsid w:val="00222D0E"/>
    <w:rsid w:val="00223153"/>
    <w:rsid w:val="00236423"/>
    <w:rsid w:val="00237426"/>
    <w:rsid w:val="00240044"/>
    <w:rsid w:val="0024166A"/>
    <w:rsid w:val="002465DA"/>
    <w:rsid w:val="00260379"/>
    <w:rsid w:val="0026183B"/>
    <w:rsid w:val="002645BE"/>
    <w:rsid w:val="002A368A"/>
    <w:rsid w:val="002B31C0"/>
    <w:rsid w:val="002C092F"/>
    <w:rsid w:val="002C2F28"/>
    <w:rsid w:val="002C716E"/>
    <w:rsid w:val="002D57FE"/>
    <w:rsid w:val="002F2E49"/>
    <w:rsid w:val="002F74B6"/>
    <w:rsid w:val="00322BB4"/>
    <w:rsid w:val="00345292"/>
    <w:rsid w:val="00351787"/>
    <w:rsid w:val="003A6D4F"/>
    <w:rsid w:val="003A6F84"/>
    <w:rsid w:val="003C0393"/>
    <w:rsid w:val="003C3A7B"/>
    <w:rsid w:val="003D6082"/>
    <w:rsid w:val="003E198C"/>
    <w:rsid w:val="003E21F6"/>
    <w:rsid w:val="003F71F9"/>
    <w:rsid w:val="004250E5"/>
    <w:rsid w:val="0043126B"/>
    <w:rsid w:val="004A4817"/>
    <w:rsid w:val="004E781D"/>
    <w:rsid w:val="004F0E81"/>
    <w:rsid w:val="004F1A07"/>
    <w:rsid w:val="0051299F"/>
    <w:rsid w:val="00527B65"/>
    <w:rsid w:val="0057275C"/>
    <w:rsid w:val="005A5573"/>
    <w:rsid w:val="005B4E5B"/>
    <w:rsid w:val="005C5A16"/>
    <w:rsid w:val="006006F4"/>
    <w:rsid w:val="006147B8"/>
    <w:rsid w:val="00625C96"/>
    <w:rsid w:val="006412B3"/>
    <w:rsid w:val="00654BF3"/>
    <w:rsid w:val="006565D7"/>
    <w:rsid w:val="00660774"/>
    <w:rsid w:val="00666B5D"/>
    <w:rsid w:val="006A41B9"/>
    <w:rsid w:val="006A6EC6"/>
    <w:rsid w:val="006A7E03"/>
    <w:rsid w:val="006B01C7"/>
    <w:rsid w:val="006B1E7E"/>
    <w:rsid w:val="006B5197"/>
    <w:rsid w:val="00715CB5"/>
    <w:rsid w:val="00716EBA"/>
    <w:rsid w:val="00736101"/>
    <w:rsid w:val="007501E6"/>
    <w:rsid w:val="00766CA4"/>
    <w:rsid w:val="00795EA7"/>
    <w:rsid w:val="007B6147"/>
    <w:rsid w:val="007D5C80"/>
    <w:rsid w:val="007D74EB"/>
    <w:rsid w:val="007E37D2"/>
    <w:rsid w:val="0081029B"/>
    <w:rsid w:val="00816FF3"/>
    <w:rsid w:val="00853DB0"/>
    <w:rsid w:val="008572D0"/>
    <w:rsid w:val="00860EFE"/>
    <w:rsid w:val="008925B1"/>
    <w:rsid w:val="00892E36"/>
    <w:rsid w:val="0089576E"/>
    <w:rsid w:val="008B45E6"/>
    <w:rsid w:val="008F1B79"/>
    <w:rsid w:val="00966FA7"/>
    <w:rsid w:val="009908A5"/>
    <w:rsid w:val="009A789F"/>
    <w:rsid w:val="009B02EC"/>
    <w:rsid w:val="009B4FC8"/>
    <w:rsid w:val="009F5699"/>
    <w:rsid w:val="00A03848"/>
    <w:rsid w:val="00A14185"/>
    <w:rsid w:val="00A4253D"/>
    <w:rsid w:val="00A57C9D"/>
    <w:rsid w:val="00A641C3"/>
    <w:rsid w:val="00A64286"/>
    <w:rsid w:val="00A66CF9"/>
    <w:rsid w:val="00A8492F"/>
    <w:rsid w:val="00AA3316"/>
    <w:rsid w:val="00AA7A5D"/>
    <w:rsid w:val="00AC195A"/>
    <w:rsid w:val="00AD20FF"/>
    <w:rsid w:val="00AD49CB"/>
    <w:rsid w:val="00AF632E"/>
    <w:rsid w:val="00B14DD7"/>
    <w:rsid w:val="00B8434E"/>
    <w:rsid w:val="00B931E9"/>
    <w:rsid w:val="00B97621"/>
    <w:rsid w:val="00BB79BD"/>
    <w:rsid w:val="00BC7790"/>
    <w:rsid w:val="00BD0924"/>
    <w:rsid w:val="00C02852"/>
    <w:rsid w:val="00C406FC"/>
    <w:rsid w:val="00C40BC6"/>
    <w:rsid w:val="00C574BE"/>
    <w:rsid w:val="00C617D0"/>
    <w:rsid w:val="00C63EDA"/>
    <w:rsid w:val="00C81136"/>
    <w:rsid w:val="00C91B13"/>
    <w:rsid w:val="00CA515C"/>
    <w:rsid w:val="00CC0A7D"/>
    <w:rsid w:val="00D03026"/>
    <w:rsid w:val="00D16173"/>
    <w:rsid w:val="00D23298"/>
    <w:rsid w:val="00D24858"/>
    <w:rsid w:val="00D26ED3"/>
    <w:rsid w:val="00D33E10"/>
    <w:rsid w:val="00D41333"/>
    <w:rsid w:val="00D42607"/>
    <w:rsid w:val="00D43F4F"/>
    <w:rsid w:val="00D471A0"/>
    <w:rsid w:val="00D879BB"/>
    <w:rsid w:val="00D917EE"/>
    <w:rsid w:val="00DA52B7"/>
    <w:rsid w:val="00DB444F"/>
    <w:rsid w:val="00DB526A"/>
    <w:rsid w:val="00DD2A84"/>
    <w:rsid w:val="00DE09A6"/>
    <w:rsid w:val="00DF7184"/>
    <w:rsid w:val="00E01414"/>
    <w:rsid w:val="00E1338A"/>
    <w:rsid w:val="00E16028"/>
    <w:rsid w:val="00E26492"/>
    <w:rsid w:val="00E33AAE"/>
    <w:rsid w:val="00E53334"/>
    <w:rsid w:val="00E53795"/>
    <w:rsid w:val="00E545A6"/>
    <w:rsid w:val="00E55EBE"/>
    <w:rsid w:val="00E64BC9"/>
    <w:rsid w:val="00E7155C"/>
    <w:rsid w:val="00E73DAD"/>
    <w:rsid w:val="00E837EB"/>
    <w:rsid w:val="00E8696B"/>
    <w:rsid w:val="00E94FCD"/>
    <w:rsid w:val="00EA3129"/>
    <w:rsid w:val="00EA6752"/>
    <w:rsid w:val="00EB59A0"/>
    <w:rsid w:val="00EC2365"/>
    <w:rsid w:val="00EC283E"/>
    <w:rsid w:val="00EC35B9"/>
    <w:rsid w:val="00EC626C"/>
    <w:rsid w:val="00ED0194"/>
    <w:rsid w:val="00ED1145"/>
    <w:rsid w:val="00F05D3F"/>
    <w:rsid w:val="00F231B0"/>
    <w:rsid w:val="00F51D89"/>
    <w:rsid w:val="00F6669A"/>
    <w:rsid w:val="00F7127D"/>
    <w:rsid w:val="00F739F3"/>
    <w:rsid w:val="00F92CB1"/>
    <w:rsid w:val="00FB2AD2"/>
    <w:rsid w:val="00FC3042"/>
    <w:rsid w:val="00FC32D9"/>
    <w:rsid w:val="00FD1FCC"/>
    <w:rsid w:val="00FE4EC4"/>
    <w:rsid w:val="00FF257A"/>
    <w:rsid w:val="00FF3A5A"/>
    <w:rsid w:val="00FF6770"/>
    <w:rsid w:val="01171874"/>
    <w:rsid w:val="0122203F"/>
    <w:rsid w:val="01F71FDB"/>
    <w:rsid w:val="01FA04C5"/>
    <w:rsid w:val="03371034"/>
    <w:rsid w:val="033E78DF"/>
    <w:rsid w:val="03631C8B"/>
    <w:rsid w:val="03B670EE"/>
    <w:rsid w:val="040C554B"/>
    <w:rsid w:val="043571F4"/>
    <w:rsid w:val="0451155A"/>
    <w:rsid w:val="04895010"/>
    <w:rsid w:val="050E1B56"/>
    <w:rsid w:val="052440AA"/>
    <w:rsid w:val="052821B7"/>
    <w:rsid w:val="059C7E7E"/>
    <w:rsid w:val="05BE17B7"/>
    <w:rsid w:val="05E91C78"/>
    <w:rsid w:val="06077BAA"/>
    <w:rsid w:val="06182ECF"/>
    <w:rsid w:val="0659333D"/>
    <w:rsid w:val="06642D2D"/>
    <w:rsid w:val="066637C1"/>
    <w:rsid w:val="06B20AB5"/>
    <w:rsid w:val="06B44195"/>
    <w:rsid w:val="06C85F4E"/>
    <w:rsid w:val="06E130D0"/>
    <w:rsid w:val="07137B80"/>
    <w:rsid w:val="0715005E"/>
    <w:rsid w:val="07244DC3"/>
    <w:rsid w:val="074866C1"/>
    <w:rsid w:val="07556B9F"/>
    <w:rsid w:val="07857C0C"/>
    <w:rsid w:val="07A0764E"/>
    <w:rsid w:val="07A42A92"/>
    <w:rsid w:val="081F7CA2"/>
    <w:rsid w:val="08474037"/>
    <w:rsid w:val="08617BB8"/>
    <w:rsid w:val="088F5575"/>
    <w:rsid w:val="089361AF"/>
    <w:rsid w:val="08A46B7F"/>
    <w:rsid w:val="08F0369A"/>
    <w:rsid w:val="092843E4"/>
    <w:rsid w:val="093D3F11"/>
    <w:rsid w:val="09542F09"/>
    <w:rsid w:val="09747ABE"/>
    <w:rsid w:val="09DE0ACC"/>
    <w:rsid w:val="0A025DAC"/>
    <w:rsid w:val="0A481C45"/>
    <w:rsid w:val="0B0A78BD"/>
    <w:rsid w:val="0B4B6B35"/>
    <w:rsid w:val="0B900E77"/>
    <w:rsid w:val="0B954157"/>
    <w:rsid w:val="0BAA38F6"/>
    <w:rsid w:val="0BAC61CD"/>
    <w:rsid w:val="0BAF0A57"/>
    <w:rsid w:val="0BB66575"/>
    <w:rsid w:val="0BE47A58"/>
    <w:rsid w:val="0C70207F"/>
    <w:rsid w:val="0D1978DD"/>
    <w:rsid w:val="0D50409B"/>
    <w:rsid w:val="0D8538FD"/>
    <w:rsid w:val="0D9E7E0F"/>
    <w:rsid w:val="0DAF0180"/>
    <w:rsid w:val="0E0F0455"/>
    <w:rsid w:val="0E25637E"/>
    <w:rsid w:val="0E353F36"/>
    <w:rsid w:val="0E7D1618"/>
    <w:rsid w:val="0EC37539"/>
    <w:rsid w:val="0F047432"/>
    <w:rsid w:val="0F0F2851"/>
    <w:rsid w:val="0F5C6C78"/>
    <w:rsid w:val="0F6438FD"/>
    <w:rsid w:val="0F792A4E"/>
    <w:rsid w:val="0FB2755A"/>
    <w:rsid w:val="0FB85196"/>
    <w:rsid w:val="0FBC27E7"/>
    <w:rsid w:val="0FDC1A7E"/>
    <w:rsid w:val="100C19B9"/>
    <w:rsid w:val="100D3ADF"/>
    <w:rsid w:val="10200ADA"/>
    <w:rsid w:val="103F62B9"/>
    <w:rsid w:val="106075E4"/>
    <w:rsid w:val="106741E2"/>
    <w:rsid w:val="10B64CFD"/>
    <w:rsid w:val="10E459A2"/>
    <w:rsid w:val="111F1C12"/>
    <w:rsid w:val="111F2FA4"/>
    <w:rsid w:val="11BC6E21"/>
    <w:rsid w:val="11C210CA"/>
    <w:rsid w:val="12025C94"/>
    <w:rsid w:val="123521D9"/>
    <w:rsid w:val="12623256"/>
    <w:rsid w:val="127F5D15"/>
    <w:rsid w:val="12A64F0F"/>
    <w:rsid w:val="12B2791F"/>
    <w:rsid w:val="12C92D09"/>
    <w:rsid w:val="12E47469"/>
    <w:rsid w:val="12E5655F"/>
    <w:rsid w:val="13685214"/>
    <w:rsid w:val="139A6375"/>
    <w:rsid w:val="13A36355"/>
    <w:rsid w:val="13CA33DC"/>
    <w:rsid w:val="13DD7A91"/>
    <w:rsid w:val="1409137B"/>
    <w:rsid w:val="144E64F9"/>
    <w:rsid w:val="14706091"/>
    <w:rsid w:val="148038B7"/>
    <w:rsid w:val="14A16B75"/>
    <w:rsid w:val="158731F7"/>
    <w:rsid w:val="158930EA"/>
    <w:rsid w:val="15AA71A3"/>
    <w:rsid w:val="15CD707B"/>
    <w:rsid w:val="15D11126"/>
    <w:rsid w:val="160F1526"/>
    <w:rsid w:val="16254D81"/>
    <w:rsid w:val="167419BF"/>
    <w:rsid w:val="16893F4C"/>
    <w:rsid w:val="16E05866"/>
    <w:rsid w:val="16F459CF"/>
    <w:rsid w:val="17111053"/>
    <w:rsid w:val="17190169"/>
    <w:rsid w:val="172A7CF3"/>
    <w:rsid w:val="17600638"/>
    <w:rsid w:val="17BA3886"/>
    <w:rsid w:val="17E03D15"/>
    <w:rsid w:val="182C4545"/>
    <w:rsid w:val="183436D9"/>
    <w:rsid w:val="183A374F"/>
    <w:rsid w:val="184B14B9"/>
    <w:rsid w:val="184C6DB1"/>
    <w:rsid w:val="1858173C"/>
    <w:rsid w:val="188125EA"/>
    <w:rsid w:val="189D1C23"/>
    <w:rsid w:val="18AF3831"/>
    <w:rsid w:val="18D1073E"/>
    <w:rsid w:val="18DB085D"/>
    <w:rsid w:val="197C59A3"/>
    <w:rsid w:val="19A16DB7"/>
    <w:rsid w:val="19BE7E2A"/>
    <w:rsid w:val="1A25069D"/>
    <w:rsid w:val="1A712204"/>
    <w:rsid w:val="1A7C3E80"/>
    <w:rsid w:val="1A8D0787"/>
    <w:rsid w:val="1AD359AD"/>
    <w:rsid w:val="1ADF5748"/>
    <w:rsid w:val="1B2C6BEF"/>
    <w:rsid w:val="1B6653E1"/>
    <w:rsid w:val="1C065130"/>
    <w:rsid w:val="1C0D79D1"/>
    <w:rsid w:val="1C514CE7"/>
    <w:rsid w:val="1C9A626F"/>
    <w:rsid w:val="1C9C025F"/>
    <w:rsid w:val="1D4D2945"/>
    <w:rsid w:val="1D530C8F"/>
    <w:rsid w:val="1D6F3C77"/>
    <w:rsid w:val="1DA37650"/>
    <w:rsid w:val="1DB8370D"/>
    <w:rsid w:val="1DB87B82"/>
    <w:rsid w:val="1DEE051D"/>
    <w:rsid w:val="1E4479F5"/>
    <w:rsid w:val="1EDD22B2"/>
    <w:rsid w:val="1F103F85"/>
    <w:rsid w:val="1F2853C9"/>
    <w:rsid w:val="1F317E28"/>
    <w:rsid w:val="1F3569AB"/>
    <w:rsid w:val="1F425605"/>
    <w:rsid w:val="200600CC"/>
    <w:rsid w:val="2020791B"/>
    <w:rsid w:val="205662AB"/>
    <w:rsid w:val="20776C72"/>
    <w:rsid w:val="20891984"/>
    <w:rsid w:val="20B858E3"/>
    <w:rsid w:val="20BA0C8B"/>
    <w:rsid w:val="20DB6103"/>
    <w:rsid w:val="20DE251B"/>
    <w:rsid w:val="21116D6C"/>
    <w:rsid w:val="21555FFF"/>
    <w:rsid w:val="215B62FE"/>
    <w:rsid w:val="21636449"/>
    <w:rsid w:val="21706016"/>
    <w:rsid w:val="219B1519"/>
    <w:rsid w:val="21A220AF"/>
    <w:rsid w:val="21AC575C"/>
    <w:rsid w:val="21AF1F37"/>
    <w:rsid w:val="21C417E1"/>
    <w:rsid w:val="22161464"/>
    <w:rsid w:val="226C5FFC"/>
    <w:rsid w:val="22BC37D0"/>
    <w:rsid w:val="22CB3886"/>
    <w:rsid w:val="22CC254A"/>
    <w:rsid w:val="23052CB6"/>
    <w:rsid w:val="23352255"/>
    <w:rsid w:val="23475D11"/>
    <w:rsid w:val="234A2CBF"/>
    <w:rsid w:val="23575396"/>
    <w:rsid w:val="239E1C5C"/>
    <w:rsid w:val="23C66D0F"/>
    <w:rsid w:val="23EB0CBD"/>
    <w:rsid w:val="241D7B3F"/>
    <w:rsid w:val="24895704"/>
    <w:rsid w:val="24B578C1"/>
    <w:rsid w:val="24B91EA0"/>
    <w:rsid w:val="24D52FE3"/>
    <w:rsid w:val="24E62AFB"/>
    <w:rsid w:val="24E7713A"/>
    <w:rsid w:val="24EC73A3"/>
    <w:rsid w:val="25286BDE"/>
    <w:rsid w:val="253801A8"/>
    <w:rsid w:val="254D5797"/>
    <w:rsid w:val="255A0989"/>
    <w:rsid w:val="25A35D9C"/>
    <w:rsid w:val="2631326A"/>
    <w:rsid w:val="26860394"/>
    <w:rsid w:val="26A30288"/>
    <w:rsid w:val="273F3383"/>
    <w:rsid w:val="27677775"/>
    <w:rsid w:val="276B7224"/>
    <w:rsid w:val="27A64A59"/>
    <w:rsid w:val="27B40309"/>
    <w:rsid w:val="27C80258"/>
    <w:rsid w:val="27D36A0B"/>
    <w:rsid w:val="27F62090"/>
    <w:rsid w:val="285D7100"/>
    <w:rsid w:val="28666199"/>
    <w:rsid w:val="28AC4D09"/>
    <w:rsid w:val="28BB1909"/>
    <w:rsid w:val="293D0721"/>
    <w:rsid w:val="297240DD"/>
    <w:rsid w:val="29A624E4"/>
    <w:rsid w:val="29AE66B4"/>
    <w:rsid w:val="2A0474C3"/>
    <w:rsid w:val="2A87484F"/>
    <w:rsid w:val="2AD80EE4"/>
    <w:rsid w:val="2AED3E69"/>
    <w:rsid w:val="2AF71901"/>
    <w:rsid w:val="2B5576F6"/>
    <w:rsid w:val="2B7F3155"/>
    <w:rsid w:val="2BB83D85"/>
    <w:rsid w:val="2C6C71FA"/>
    <w:rsid w:val="2C865BD2"/>
    <w:rsid w:val="2C885AD6"/>
    <w:rsid w:val="2CC06F13"/>
    <w:rsid w:val="2CCC136B"/>
    <w:rsid w:val="2CD56A65"/>
    <w:rsid w:val="2DB650FE"/>
    <w:rsid w:val="2DC01BA9"/>
    <w:rsid w:val="2DC13C97"/>
    <w:rsid w:val="2DD616B2"/>
    <w:rsid w:val="2DE42AF7"/>
    <w:rsid w:val="2DFF6B3A"/>
    <w:rsid w:val="2E345470"/>
    <w:rsid w:val="2E851517"/>
    <w:rsid w:val="2EC648AE"/>
    <w:rsid w:val="2ECB6F2D"/>
    <w:rsid w:val="2F3358F9"/>
    <w:rsid w:val="2F5401C3"/>
    <w:rsid w:val="3001658A"/>
    <w:rsid w:val="30154744"/>
    <w:rsid w:val="30353C29"/>
    <w:rsid w:val="30394D9D"/>
    <w:rsid w:val="304D44BC"/>
    <w:rsid w:val="3050638A"/>
    <w:rsid w:val="30B55E57"/>
    <w:rsid w:val="316E7252"/>
    <w:rsid w:val="31C53C32"/>
    <w:rsid w:val="31DE70DA"/>
    <w:rsid w:val="323C3C96"/>
    <w:rsid w:val="323D19BD"/>
    <w:rsid w:val="32467555"/>
    <w:rsid w:val="324A3E9C"/>
    <w:rsid w:val="32860A96"/>
    <w:rsid w:val="32E42847"/>
    <w:rsid w:val="33110903"/>
    <w:rsid w:val="33694C4B"/>
    <w:rsid w:val="338B7022"/>
    <w:rsid w:val="342C69D4"/>
    <w:rsid w:val="349A466D"/>
    <w:rsid w:val="34E452E0"/>
    <w:rsid w:val="34E63E44"/>
    <w:rsid w:val="34FD42AF"/>
    <w:rsid w:val="3517435A"/>
    <w:rsid w:val="3565496C"/>
    <w:rsid w:val="359978AF"/>
    <w:rsid w:val="359C6737"/>
    <w:rsid w:val="35A70210"/>
    <w:rsid w:val="35E97DB6"/>
    <w:rsid w:val="36456DE3"/>
    <w:rsid w:val="36493D8C"/>
    <w:rsid w:val="36537AC0"/>
    <w:rsid w:val="36A60538"/>
    <w:rsid w:val="36DB566D"/>
    <w:rsid w:val="371E3F66"/>
    <w:rsid w:val="374F1BE2"/>
    <w:rsid w:val="37A767E6"/>
    <w:rsid w:val="37A97AF0"/>
    <w:rsid w:val="37BE96AB"/>
    <w:rsid w:val="381D575A"/>
    <w:rsid w:val="38227B20"/>
    <w:rsid w:val="3827382A"/>
    <w:rsid w:val="38776A58"/>
    <w:rsid w:val="388E61CA"/>
    <w:rsid w:val="38944B73"/>
    <w:rsid w:val="39092797"/>
    <w:rsid w:val="394123EC"/>
    <w:rsid w:val="39A71832"/>
    <w:rsid w:val="39E71349"/>
    <w:rsid w:val="3A400993"/>
    <w:rsid w:val="3A633BE8"/>
    <w:rsid w:val="3A6BACC1"/>
    <w:rsid w:val="3AA10705"/>
    <w:rsid w:val="3AA22CFA"/>
    <w:rsid w:val="3ACD5133"/>
    <w:rsid w:val="3AF235BE"/>
    <w:rsid w:val="3B512AC7"/>
    <w:rsid w:val="3BAE6269"/>
    <w:rsid w:val="3BBA4578"/>
    <w:rsid w:val="3BC15D57"/>
    <w:rsid w:val="3BE451DD"/>
    <w:rsid w:val="3BF53766"/>
    <w:rsid w:val="3C5830E2"/>
    <w:rsid w:val="3CF43348"/>
    <w:rsid w:val="3CFB3486"/>
    <w:rsid w:val="3D0A7794"/>
    <w:rsid w:val="3D6E0C62"/>
    <w:rsid w:val="3DB8213A"/>
    <w:rsid w:val="3DEE3070"/>
    <w:rsid w:val="3E0E7115"/>
    <w:rsid w:val="3E7C3D6A"/>
    <w:rsid w:val="3F0A57CF"/>
    <w:rsid w:val="3F0F3A45"/>
    <w:rsid w:val="3F1604FB"/>
    <w:rsid w:val="3F1C4120"/>
    <w:rsid w:val="3F5A6F13"/>
    <w:rsid w:val="3F882780"/>
    <w:rsid w:val="3F953B21"/>
    <w:rsid w:val="3F97238E"/>
    <w:rsid w:val="3FBC7623"/>
    <w:rsid w:val="400E0065"/>
    <w:rsid w:val="40474350"/>
    <w:rsid w:val="407112AE"/>
    <w:rsid w:val="40B60DFF"/>
    <w:rsid w:val="41066E56"/>
    <w:rsid w:val="415B5E44"/>
    <w:rsid w:val="419D6868"/>
    <w:rsid w:val="41B120D9"/>
    <w:rsid w:val="41B27BC3"/>
    <w:rsid w:val="41C924CD"/>
    <w:rsid w:val="42184919"/>
    <w:rsid w:val="42297269"/>
    <w:rsid w:val="42336F63"/>
    <w:rsid w:val="42AB2833"/>
    <w:rsid w:val="42C6712B"/>
    <w:rsid w:val="42DC2C7D"/>
    <w:rsid w:val="430D3C5F"/>
    <w:rsid w:val="431C7EE5"/>
    <w:rsid w:val="43266B4C"/>
    <w:rsid w:val="433B15A7"/>
    <w:rsid w:val="43817B35"/>
    <w:rsid w:val="4398427E"/>
    <w:rsid w:val="443171E5"/>
    <w:rsid w:val="44622B86"/>
    <w:rsid w:val="446B4C3F"/>
    <w:rsid w:val="44BB1488"/>
    <w:rsid w:val="44C45FCB"/>
    <w:rsid w:val="44F07349"/>
    <w:rsid w:val="45466038"/>
    <w:rsid w:val="458C6934"/>
    <w:rsid w:val="45997C2E"/>
    <w:rsid w:val="461A2060"/>
    <w:rsid w:val="467C5739"/>
    <w:rsid w:val="468C1600"/>
    <w:rsid w:val="46B610BB"/>
    <w:rsid w:val="46DB38C0"/>
    <w:rsid w:val="46E1696A"/>
    <w:rsid w:val="47115896"/>
    <w:rsid w:val="47196F77"/>
    <w:rsid w:val="475267CD"/>
    <w:rsid w:val="478718E7"/>
    <w:rsid w:val="47A74B40"/>
    <w:rsid w:val="47BF237C"/>
    <w:rsid w:val="47CB4A40"/>
    <w:rsid w:val="47CE6158"/>
    <w:rsid w:val="47DF4A19"/>
    <w:rsid w:val="47EB1B48"/>
    <w:rsid w:val="4853040B"/>
    <w:rsid w:val="485A024C"/>
    <w:rsid w:val="4888270D"/>
    <w:rsid w:val="49CE6F44"/>
    <w:rsid w:val="49D73FE4"/>
    <w:rsid w:val="49E2094D"/>
    <w:rsid w:val="49EE462E"/>
    <w:rsid w:val="4A2878EE"/>
    <w:rsid w:val="4A2B0AE3"/>
    <w:rsid w:val="4A9007AF"/>
    <w:rsid w:val="4AAC2C5B"/>
    <w:rsid w:val="4B313BAD"/>
    <w:rsid w:val="4B4D6462"/>
    <w:rsid w:val="4B5A30A1"/>
    <w:rsid w:val="4BC2339D"/>
    <w:rsid w:val="4C01454E"/>
    <w:rsid w:val="4C1E5027"/>
    <w:rsid w:val="4C735FE6"/>
    <w:rsid w:val="4C951B67"/>
    <w:rsid w:val="4CD13F3A"/>
    <w:rsid w:val="4CDD5C9E"/>
    <w:rsid w:val="4CDF14F6"/>
    <w:rsid w:val="4CE16CC7"/>
    <w:rsid w:val="4D190925"/>
    <w:rsid w:val="4D2B05C5"/>
    <w:rsid w:val="4D3508D2"/>
    <w:rsid w:val="4D3850D9"/>
    <w:rsid w:val="4D3E6AC8"/>
    <w:rsid w:val="4D632239"/>
    <w:rsid w:val="4DD20C31"/>
    <w:rsid w:val="4E083087"/>
    <w:rsid w:val="4ED22280"/>
    <w:rsid w:val="4F016159"/>
    <w:rsid w:val="4F591F2F"/>
    <w:rsid w:val="4F5E1FB1"/>
    <w:rsid w:val="4F8915E2"/>
    <w:rsid w:val="4F9C6CCB"/>
    <w:rsid w:val="4FC04703"/>
    <w:rsid w:val="4FCE113C"/>
    <w:rsid w:val="4FE00D4D"/>
    <w:rsid w:val="5012246A"/>
    <w:rsid w:val="50125E71"/>
    <w:rsid w:val="504303B7"/>
    <w:rsid w:val="50A524D5"/>
    <w:rsid w:val="50F22664"/>
    <w:rsid w:val="51176AA2"/>
    <w:rsid w:val="511C2D0A"/>
    <w:rsid w:val="51291F21"/>
    <w:rsid w:val="514E21A9"/>
    <w:rsid w:val="517C6E66"/>
    <w:rsid w:val="518B3C19"/>
    <w:rsid w:val="51AD5C1C"/>
    <w:rsid w:val="52320299"/>
    <w:rsid w:val="52616076"/>
    <w:rsid w:val="528616F8"/>
    <w:rsid w:val="52876F40"/>
    <w:rsid w:val="52924294"/>
    <w:rsid w:val="52970207"/>
    <w:rsid w:val="52B4090E"/>
    <w:rsid w:val="52B658B6"/>
    <w:rsid w:val="52CA767F"/>
    <w:rsid w:val="52CC5FAA"/>
    <w:rsid w:val="52ED09EC"/>
    <w:rsid w:val="52F27BE9"/>
    <w:rsid w:val="534A6B5C"/>
    <w:rsid w:val="535C3B6B"/>
    <w:rsid w:val="53DF4239"/>
    <w:rsid w:val="541C59D1"/>
    <w:rsid w:val="54227F49"/>
    <w:rsid w:val="54266D3E"/>
    <w:rsid w:val="546315F6"/>
    <w:rsid w:val="54CF221A"/>
    <w:rsid w:val="55316168"/>
    <w:rsid w:val="55740B89"/>
    <w:rsid w:val="5574464A"/>
    <w:rsid w:val="559F4FDA"/>
    <w:rsid w:val="55D0031F"/>
    <w:rsid w:val="55E16CFF"/>
    <w:rsid w:val="5605137C"/>
    <w:rsid w:val="56963132"/>
    <w:rsid w:val="56C0185D"/>
    <w:rsid w:val="56F76BFC"/>
    <w:rsid w:val="57053A42"/>
    <w:rsid w:val="571FDE03"/>
    <w:rsid w:val="572868A4"/>
    <w:rsid w:val="576974C5"/>
    <w:rsid w:val="576D32D8"/>
    <w:rsid w:val="577D1FF2"/>
    <w:rsid w:val="58105B00"/>
    <w:rsid w:val="58660286"/>
    <w:rsid w:val="58BD0F2F"/>
    <w:rsid w:val="58DE7DEA"/>
    <w:rsid w:val="58F8522F"/>
    <w:rsid w:val="58FC3C94"/>
    <w:rsid w:val="59B83D99"/>
    <w:rsid w:val="59C743D7"/>
    <w:rsid w:val="5A2471D5"/>
    <w:rsid w:val="5A695922"/>
    <w:rsid w:val="5AE43A9D"/>
    <w:rsid w:val="5B5F61CD"/>
    <w:rsid w:val="5B6B58B3"/>
    <w:rsid w:val="5B901FC3"/>
    <w:rsid w:val="5BCB07F5"/>
    <w:rsid w:val="5C357179"/>
    <w:rsid w:val="5C3804D5"/>
    <w:rsid w:val="5C412E01"/>
    <w:rsid w:val="5C7D538C"/>
    <w:rsid w:val="5C8D74D5"/>
    <w:rsid w:val="5CCB77D7"/>
    <w:rsid w:val="5D041869"/>
    <w:rsid w:val="5D1C5695"/>
    <w:rsid w:val="5D3446A6"/>
    <w:rsid w:val="5D4111F7"/>
    <w:rsid w:val="5D530069"/>
    <w:rsid w:val="5D5D78EC"/>
    <w:rsid w:val="5D7BC566"/>
    <w:rsid w:val="5D934C92"/>
    <w:rsid w:val="5E0D4C3A"/>
    <w:rsid w:val="5E233DDC"/>
    <w:rsid w:val="5E6749AF"/>
    <w:rsid w:val="5E756F3E"/>
    <w:rsid w:val="5EA5324C"/>
    <w:rsid w:val="5EBA006F"/>
    <w:rsid w:val="5ED74DED"/>
    <w:rsid w:val="5EEDA16A"/>
    <w:rsid w:val="5EEDFA78"/>
    <w:rsid w:val="5F0D7F82"/>
    <w:rsid w:val="5FBFD1B9"/>
    <w:rsid w:val="60074D07"/>
    <w:rsid w:val="600B1912"/>
    <w:rsid w:val="604D3143"/>
    <w:rsid w:val="605B367F"/>
    <w:rsid w:val="6060478C"/>
    <w:rsid w:val="6096311E"/>
    <w:rsid w:val="60AA6573"/>
    <w:rsid w:val="60AA691E"/>
    <w:rsid w:val="60F171C1"/>
    <w:rsid w:val="60FA1C9C"/>
    <w:rsid w:val="611608B3"/>
    <w:rsid w:val="61294600"/>
    <w:rsid w:val="614E3763"/>
    <w:rsid w:val="61871754"/>
    <w:rsid w:val="622518DF"/>
    <w:rsid w:val="62F24AD3"/>
    <w:rsid w:val="630C4391"/>
    <w:rsid w:val="63250B6A"/>
    <w:rsid w:val="63454F14"/>
    <w:rsid w:val="63765E0B"/>
    <w:rsid w:val="63E3170F"/>
    <w:rsid w:val="64320BF5"/>
    <w:rsid w:val="6475275F"/>
    <w:rsid w:val="64916A0D"/>
    <w:rsid w:val="64A4089F"/>
    <w:rsid w:val="64DE512A"/>
    <w:rsid w:val="64F06E79"/>
    <w:rsid w:val="64FB0350"/>
    <w:rsid w:val="65253867"/>
    <w:rsid w:val="65A84940"/>
    <w:rsid w:val="65AA74E5"/>
    <w:rsid w:val="65B63E2C"/>
    <w:rsid w:val="65BBC928"/>
    <w:rsid w:val="65C81467"/>
    <w:rsid w:val="65CB5736"/>
    <w:rsid w:val="65E74F8A"/>
    <w:rsid w:val="663103B1"/>
    <w:rsid w:val="66402E65"/>
    <w:rsid w:val="664F575F"/>
    <w:rsid w:val="66A0168B"/>
    <w:rsid w:val="67552988"/>
    <w:rsid w:val="675F5E5E"/>
    <w:rsid w:val="67C2644B"/>
    <w:rsid w:val="67FF3DF7"/>
    <w:rsid w:val="680B24AD"/>
    <w:rsid w:val="68480892"/>
    <w:rsid w:val="68527E20"/>
    <w:rsid w:val="686A7362"/>
    <w:rsid w:val="68BE2E92"/>
    <w:rsid w:val="68F32F55"/>
    <w:rsid w:val="69300138"/>
    <w:rsid w:val="69336C77"/>
    <w:rsid w:val="693C2128"/>
    <w:rsid w:val="69600463"/>
    <w:rsid w:val="69662807"/>
    <w:rsid w:val="69753174"/>
    <w:rsid w:val="698869AD"/>
    <w:rsid w:val="69A52414"/>
    <w:rsid w:val="69BF86C7"/>
    <w:rsid w:val="6A1D2F7F"/>
    <w:rsid w:val="6A216F4A"/>
    <w:rsid w:val="6A4B4F74"/>
    <w:rsid w:val="6A5B0896"/>
    <w:rsid w:val="6AB447B0"/>
    <w:rsid w:val="6ABB0DA2"/>
    <w:rsid w:val="6B113BA1"/>
    <w:rsid w:val="6B7B0112"/>
    <w:rsid w:val="6B9601AD"/>
    <w:rsid w:val="6BAC7FDC"/>
    <w:rsid w:val="6BAD1568"/>
    <w:rsid w:val="6BBB6FDE"/>
    <w:rsid w:val="6BCA5B8E"/>
    <w:rsid w:val="6BF7366A"/>
    <w:rsid w:val="6C135BA8"/>
    <w:rsid w:val="6C1F74A2"/>
    <w:rsid w:val="6C3D5FF0"/>
    <w:rsid w:val="6C546984"/>
    <w:rsid w:val="6C9139EB"/>
    <w:rsid w:val="6CCA6BFC"/>
    <w:rsid w:val="6CD35217"/>
    <w:rsid w:val="6D006762"/>
    <w:rsid w:val="6D162FB8"/>
    <w:rsid w:val="6D2A0C5D"/>
    <w:rsid w:val="6D4A4512"/>
    <w:rsid w:val="6D5D30AD"/>
    <w:rsid w:val="6D7414C2"/>
    <w:rsid w:val="6D7A25C7"/>
    <w:rsid w:val="6DA052A0"/>
    <w:rsid w:val="6DB679BA"/>
    <w:rsid w:val="6E452589"/>
    <w:rsid w:val="6EAF40E8"/>
    <w:rsid w:val="6EBB3DA8"/>
    <w:rsid w:val="6EE3246C"/>
    <w:rsid w:val="6F1720C1"/>
    <w:rsid w:val="6F3566B0"/>
    <w:rsid w:val="6F4920A7"/>
    <w:rsid w:val="6F4B49A1"/>
    <w:rsid w:val="6F957C2C"/>
    <w:rsid w:val="6FCB714C"/>
    <w:rsid w:val="702C68C4"/>
    <w:rsid w:val="708B4884"/>
    <w:rsid w:val="70A756FF"/>
    <w:rsid w:val="70E55D27"/>
    <w:rsid w:val="712D24BF"/>
    <w:rsid w:val="71874784"/>
    <w:rsid w:val="71BE17A6"/>
    <w:rsid w:val="727A536F"/>
    <w:rsid w:val="72836DD7"/>
    <w:rsid w:val="728448B9"/>
    <w:rsid w:val="729448CC"/>
    <w:rsid w:val="72A34CB6"/>
    <w:rsid w:val="72C5782C"/>
    <w:rsid w:val="72CA61B1"/>
    <w:rsid w:val="730242D1"/>
    <w:rsid w:val="731163DA"/>
    <w:rsid w:val="73510435"/>
    <w:rsid w:val="73643325"/>
    <w:rsid w:val="739C6215"/>
    <w:rsid w:val="739E467B"/>
    <w:rsid w:val="73BB15A2"/>
    <w:rsid w:val="73BC1F87"/>
    <w:rsid w:val="7406508B"/>
    <w:rsid w:val="74180335"/>
    <w:rsid w:val="74187A8E"/>
    <w:rsid w:val="741B1827"/>
    <w:rsid w:val="74650560"/>
    <w:rsid w:val="74880394"/>
    <w:rsid w:val="74BA3FCB"/>
    <w:rsid w:val="7577245B"/>
    <w:rsid w:val="758847B8"/>
    <w:rsid w:val="75C30E52"/>
    <w:rsid w:val="75D709C9"/>
    <w:rsid w:val="76047888"/>
    <w:rsid w:val="76495595"/>
    <w:rsid w:val="7688512E"/>
    <w:rsid w:val="76A766BF"/>
    <w:rsid w:val="76D24210"/>
    <w:rsid w:val="76F03A70"/>
    <w:rsid w:val="76F84659"/>
    <w:rsid w:val="77617AAC"/>
    <w:rsid w:val="77714FE6"/>
    <w:rsid w:val="77A7177E"/>
    <w:rsid w:val="77B84405"/>
    <w:rsid w:val="783E2109"/>
    <w:rsid w:val="78531092"/>
    <w:rsid w:val="78661F65"/>
    <w:rsid w:val="786850F7"/>
    <w:rsid w:val="788269F7"/>
    <w:rsid w:val="789D5DBC"/>
    <w:rsid w:val="78F5776E"/>
    <w:rsid w:val="79217AEE"/>
    <w:rsid w:val="794F2AE6"/>
    <w:rsid w:val="79770B0C"/>
    <w:rsid w:val="797E4327"/>
    <w:rsid w:val="79827EA5"/>
    <w:rsid w:val="79AA71CE"/>
    <w:rsid w:val="79B55DD4"/>
    <w:rsid w:val="79D436A6"/>
    <w:rsid w:val="79D53ABE"/>
    <w:rsid w:val="79F75550"/>
    <w:rsid w:val="7AE73D33"/>
    <w:rsid w:val="7B537186"/>
    <w:rsid w:val="7B8D1179"/>
    <w:rsid w:val="7B936752"/>
    <w:rsid w:val="7BFBF867"/>
    <w:rsid w:val="7BFD1741"/>
    <w:rsid w:val="7C330393"/>
    <w:rsid w:val="7C416128"/>
    <w:rsid w:val="7C650728"/>
    <w:rsid w:val="7CF92125"/>
    <w:rsid w:val="7CFF02E3"/>
    <w:rsid w:val="7D176D1F"/>
    <w:rsid w:val="7D343367"/>
    <w:rsid w:val="7D6C50A1"/>
    <w:rsid w:val="7D8767DE"/>
    <w:rsid w:val="7DB20F4A"/>
    <w:rsid w:val="7DF403A0"/>
    <w:rsid w:val="7DFB6B2C"/>
    <w:rsid w:val="7E4C6B51"/>
    <w:rsid w:val="7E4E1C37"/>
    <w:rsid w:val="7EEF38A5"/>
    <w:rsid w:val="7EF427EB"/>
    <w:rsid w:val="7F16081C"/>
    <w:rsid w:val="7F20170E"/>
    <w:rsid w:val="7F4F4D23"/>
    <w:rsid w:val="7F5800E8"/>
    <w:rsid w:val="7F600DF9"/>
    <w:rsid w:val="7F8B3DA6"/>
    <w:rsid w:val="7FBF4B3E"/>
    <w:rsid w:val="7FC67F72"/>
    <w:rsid w:val="7FE767A6"/>
    <w:rsid w:val="7FE9A08A"/>
    <w:rsid w:val="9BD41BF1"/>
    <w:rsid w:val="9F7C6FFB"/>
    <w:rsid w:val="9FEBD036"/>
    <w:rsid w:val="A3FE6A58"/>
    <w:rsid w:val="ABB6D645"/>
    <w:rsid w:val="BCFFB722"/>
    <w:rsid w:val="BD928348"/>
    <w:rsid w:val="DF9A0B7B"/>
    <w:rsid w:val="E7F7D622"/>
    <w:rsid w:val="EB7EAF54"/>
    <w:rsid w:val="EFD7FE70"/>
    <w:rsid w:val="F43D0EAA"/>
    <w:rsid w:val="FAFFDBB7"/>
    <w:rsid w:val="FCB9C56E"/>
    <w:rsid w:val="FD9BC4A5"/>
    <w:rsid w:val="FDA93A82"/>
    <w:rsid w:val="FDDDC0A1"/>
    <w:rsid w:val="FE9F6358"/>
    <w:rsid w:val="FFA16CA1"/>
    <w:rsid w:val="FFC7FA24"/>
    <w:rsid w:val="FFEFA1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unhideWhenUsed="0" w:uiPriority="0" w:semiHidden="0" w:name="toc 2"/>
    <w:lsdException w:unhideWhenUsed="0" w:uiPriority="0" w:semiHidden="0" w:name="toc 3"/>
    <w:lsdException w:unhideWhenUsed="0" w:uiPriority="0" w:semiHidden="0" w:name="toc 4"/>
    <w:lsdException w:qFormat="1" w:unhideWhenUsed="0" w:uiPriority="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54"/>
    <w:qFormat/>
    <w:uiPriority w:val="0"/>
    <w:pPr>
      <w:spacing w:before="340" w:after="330" w:line="360" w:lineRule="auto"/>
      <w:jc w:val="center"/>
      <w:outlineLvl w:val="0"/>
    </w:pPr>
    <w:rPr>
      <w:kern w:val="44"/>
      <w:szCs w:val="44"/>
    </w:rPr>
  </w:style>
  <w:style w:type="paragraph" w:styleId="3">
    <w:name w:val="heading 2"/>
    <w:basedOn w:val="1"/>
    <w:next w:val="1"/>
    <w:qFormat/>
    <w:uiPriority w:val="9"/>
    <w:pPr>
      <w:adjustRightInd w:val="0"/>
      <w:snapToGrid w:val="0"/>
      <w:spacing w:line="360" w:lineRule="auto"/>
      <w:jc w:val="center"/>
      <w:textAlignment w:val="baseline"/>
      <w:outlineLvl w:val="1"/>
    </w:pPr>
    <w:rPr>
      <w:b/>
      <w:kern w:val="0"/>
      <w:sz w:val="30"/>
      <w:szCs w:val="20"/>
    </w:rPr>
  </w:style>
  <w:style w:type="paragraph" w:styleId="4">
    <w:name w:val="heading 3"/>
    <w:basedOn w:val="1"/>
    <w:next w:val="1"/>
    <w:qFormat/>
    <w:uiPriority w:val="9"/>
    <w:pPr>
      <w:spacing w:before="260" w:after="260" w:line="240" w:lineRule="auto"/>
      <w:outlineLvl w:val="2"/>
    </w:pPr>
    <w:rPr>
      <w:rFonts w:ascii="宋体" w:hAnsi="宋体"/>
      <w:szCs w:val="32"/>
    </w:rPr>
  </w:style>
  <w:style w:type="paragraph" w:styleId="5">
    <w:name w:val="heading 4"/>
    <w:basedOn w:val="6"/>
    <w:next w:val="1"/>
    <w:qFormat/>
    <w:uiPriority w:val="9"/>
    <w:pPr>
      <w:keepNext/>
      <w:keepLines/>
      <w:spacing w:before="280" w:after="290" w:line="376" w:lineRule="auto"/>
      <w:outlineLvl w:val="3"/>
    </w:pPr>
    <w:rPr>
      <w:rFonts w:ascii="Arial" w:hAnsi="Arial" w:eastAsia="黑体"/>
      <w:sz w:val="28"/>
      <w:szCs w:val="28"/>
    </w:rPr>
  </w:style>
  <w:style w:type="character" w:default="1" w:styleId="25">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6">
    <w:name w:val="Title"/>
    <w:basedOn w:val="1"/>
    <w:next w:val="1"/>
    <w:qFormat/>
    <w:uiPriority w:val="10"/>
    <w:pPr>
      <w:spacing w:before="240" w:after="60"/>
      <w:jc w:val="center"/>
      <w:outlineLvl w:val="0"/>
    </w:pPr>
    <w:rPr>
      <w:rFonts w:ascii="Arial" w:hAnsi="Arial" w:eastAsia="隶书" w:cs="Arial"/>
      <w:b/>
      <w:bCs/>
      <w:sz w:val="32"/>
      <w:szCs w:val="32"/>
    </w:rPr>
  </w:style>
  <w:style w:type="paragraph" w:styleId="7">
    <w:name w:val="Normal Indent"/>
    <w:basedOn w:val="1"/>
    <w:qFormat/>
    <w:uiPriority w:val="0"/>
    <w:pPr>
      <w:ind w:firstLine="420"/>
    </w:pPr>
    <w:rPr>
      <w:szCs w:val="20"/>
    </w:rPr>
  </w:style>
  <w:style w:type="paragraph" w:styleId="8">
    <w:name w:val="annotation text"/>
    <w:basedOn w:val="1"/>
    <w:next w:val="9"/>
    <w:link w:val="47"/>
    <w:qFormat/>
    <w:uiPriority w:val="99"/>
    <w:pPr>
      <w:autoSpaceDE w:val="0"/>
      <w:autoSpaceDN w:val="0"/>
      <w:adjustRightInd w:val="0"/>
      <w:jc w:val="left"/>
      <w:textAlignment w:val="baseline"/>
    </w:pPr>
    <w:rPr>
      <w:rFonts w:ascii="宋体"/>
      <w:kern w:val="0"/>
      <w:sz w:val="34"/>
      <w:szCs w:val="20"/>
    </w:rPr>
  </w:style>
  <w:style w:type="paragraph" w:styleId="9">
    <w:name w:val="toc 5"/>
    <w:basedOn w:val="1"/>
    <w:next w:val="1"/>
    <w:semiHidden/>
    <w:qFormat/>
    <w:uiPriority w:val="0"/>
    <w:pPr>
      <w:ind w:left="840"/>
      <w:jc w:val="left"/>
    </w:pPr>
    <w:rPr>
      <w:szCs w:val="21"/>
    </w:rPr>
  </w:style>
  <w:style w:type="paragraph" w:styleId="10">
    <w:name w:val="Body Text"/>
    <w:basedOn w:val="1"/>
    <w:next w:val="1"/>
    <w:qFormat/>
    <w:uiPriority w:val="0"/>
    <w:pPr>
      <w:spacing w:line="360" w:lineRule="auto"/>
    </w:pPr>
    <w:rPr>
      <w:b/>
      <w:bCs/>
      <w:sz w:val="24"/>
    </w:rPr>
  </w:style>
  <w:style w:type="paragraph" w:styleId="11">
    <w:name w:val="Body Text Indent"/>
    <w:basedOn w:val="1"/>
    <w:next w:val="12"/>
    <w:qFormat/>
    <w:uiPriority w:val="0"/>
    <w:pPr>
      <w:spacing w:line="360" w:lineRule="auto"/>
      <w:ind w:firstLine="420" w:firstLineChars="200"/>
    </w:pPr>
  </w:style>
  <w:style w:type="paragraph" w:styleId="12">
    <w:name w:val="envelope return"/>
    <w:basedOn w:val="1"/>
    <w:qFormat/>
    <w:uiPriority w:val="99"/>
    <w:rPr>
      <w:rFonts w:ascii="Arial" w:hAnsi="Arial"/>
    </w:rPr>
  </w:style>
  <w:style w:type="paragraph" w:styleId="13">
    <w:name w:val="Plain Text"/>
    <w:basedOn w:val="1"/>
    <w:qFormat/>
    <w:uiPriority w:val="99"/>
    <w:rPr>
      <w:rFonts w:ascii="宋体" w:hAnsi="Courier New"/>
      <w:szCs w:val="20"/>
    </w:rPr>
  </w:style>
  <w:style w:type="paragraph" w:styleId="14">
    <w:name w:val="Body Text Indent 2"/>
    <w:basedOn w:val="1"/>
    <w:qFormat/>
    <w:uiPriority w:val="0"/>
    <w:pPr>
      <w:spacing w:line="500" w:lineRule="exact"/>
      <w:ind w:left="397" w:firstLine="539"/>
    </w:pPr>
    <w:rPr>
      <w:rFonts w:ascii="宋体" w:hAnsi="华文中宋"/>
      <w:sz w:val="26"/>
      <w:szCs w:val="20"/>
    </w:rPr>
  </w:style>
  <w:style w:type="paragraph" w:styleId="15">
    <w:name w:val="Balloon Text"/>
    <w:basedOn w:val="1"/>
    <w:link w:val="45"/>
    <w:qFormat/>
    <w:uiPriority w:val="0"/>
    <w:rPr>
      <w:sz w:val="18"/>
      <w:szCs w:val="18"/>
    </w:rPr>
  </w:style>
  <w:style w:type="paragraph" w:styleId="16">
    <w:name w:val="footer"/>
    <w:basedOn w:val="1"/>
    <w:qFormat/>
    <w:uiPriority w:val="99"/>
    <w:pPr>
      <w:tabs>
        <w:tab w:val="center" w:pos="4153"/>
        <w:tab w:val="right" w:pos="8306"/>
      </w:tabs>
      <w:snapToGrid w:val="0"/>
      <w:jc w:val="left"/>
    </w:pPr>
    <w:rPr>
      <w:sz w:val="18"/>
      <w:szCs w:val="18"/>
    </w:rPr>
  </w:style>
  <w:style w:type="paragraph" w:styleId="17">
    <w:name w:val="header"/>
    <w:basedOn w:val="1"/>
    <w:link w:val="44"/>
    <w:qFormat/>
    <w:uiPriority w:val="0"/>
    <w:pPr>
      <w:pBdr>
        <w:bottom w:val="single" w:color="auto" w:sz="6" w:space="1"/>
      </w:pBdr>
      <w:tabs>
        <w:tab w:val="center" w:pos="4153"/>
        <w:tab w:val="right" w:pos="8306"/>
      </w:tabs>
      <w:snapToGrid w:val="0"/>
      <w:jc w:val="center"/>
    </w:pPr>
    <w:rPr>
      <w:sz w:val="18"/>
      <w:szCs w:val="18"/>
    </w:rPr>
  </w:style>
  <w:style w:type="paragraph" w:styleId="18">
    <w:name w:val="toc 1"/>
    <w:basedOn w:val="1"/>
    <w:next w:val="1"/>
    <w:semiHidden/>
    <w:qFormat/>
    <w:uiPriority w:val="0"/>
    <w:pPr>
      <w:jc w:val="left"/>
    </w:pPr>
    <w:rPr>
      <w:b/>
      <w:bCs/>
      <w:caps/>
    </w:rPr>
  </w:style>
  <w:style w:type="paragraph" w:styleId="19">
    <w:name w:val="Normal (Web)"/>
    <w:basedOn w:val="1"/>
    <w:qFormat/>
    <w:uiPriority w:val="99"/>
    <w:rPr>
      <w:rFonts w:ascii="Times New Roman" w:hAnsi="Times New Roman"/>
      <w:sz w:val="24"/>
    </w:rPr>
  </w:style>
  <w:style w:type="paragraph" w:styleId="20">
    <w:name w:val="annotation subject"/>
    <w:basedOn w:val="8"/>
    <w:next w:val="8"/>
    <w:link w:val="48"/>
    <w:qFormat/>
    <w:uiPriority w:val="0"/>
    <w:pPr>
      <w:autoSpaceDE/>
      <w:autoSpaceDN/>
      <w:adjustRightInd/>
      <w:textAlignment w:val="auto"/>
    </w:pPr>
    <w:rPr>
      <w:rFonts w:ascii="Calibri"/>
      <w:b/>
      <w:bCs/>
      <w:kern w:val="2"/>
      <w:sz w:val="21"/>
      <w:szCs w:val="24"/>
    </w:rPr>
  </w:style>
  <w:style w:type="paragraph" w:styleId="21">
    <w:name w:val="Body Text First Indent"/>
    <w:basedOn w:val="10"/>
    <w:qFormat/>
    <w:uiPriority w:val="0"/>
    <w:pPr>
      <w:tabs>
        <w:tab w:val="left" w:pos="360"/>
      </w:tabs>
      <w:spacing w:line="220" w:lineRule="exact"/>
      <w:ind w:left="360" w:hanging="360"/>
    </w:pPr>
    <w:rPr>
      <w:rFonts w:ascii="Times New Roman" w:hAnsi="Times New Roman"/>
      <w:kern w:val="0"/>
      <w:sz w:val="20"/>
    </w:rPr>
  </w:style>
  <w:style w:type="paragraph" w:styleId="22">
    <w:name w:val="Body Text First Indent 2"/>
    <w:basedOn w:val="11"/>
    <w:next w:val="1"/>
    <w:qFormat/>
    <w:uiPriority w:val="0"/>
    <w:pPr>
      <w:spacing w:after="120" w:line="240" w:lineRule="auto"/>
      <w:ind w:left="420" w:leftChars="200"/>
    </w:pPr>
  </w:style>
  <w:style w:type="table" w:styleId="24">
    <w:name w:val="Table Grid"/>
    <w:basedOn w:val="2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6">
    <w:name w:val="Strong"/>
    <w:basedOn w:val="25"/>
    <w:qFormat/>
    <w:uiPriority w:val="0"/>
    <w:rPr>
      <w:b/>
      <w:bCs/>
    </w:rPr>
  </w:style>
  <w:style w:type="character" w:styleId="27">
    <w:name w:val="page number"/>
    <w:basedOn w:val="25"/>
    <w:qFormat/>
    <w:uiPriority w:val="0"/>
  </w:style>
  <w:style w:type="character" w:styleId="28">
    <w:name w:val="FollowedHyperlink"/>
    <w:basedOn w:val="25"/>
    <w:qFormat/>
    <w:uiPriority w:val="0"/>
    <w:rPr>
      <w:color w:val="337AB7"/>
      <w:u w:val="none"/>
    </w:rPr>
  </w:style>
  <w:style w:type="character" w:styleId="29">
    <w:name w:val="HTML Definition"/>
    <w:basedOn w:val="25"/>
    <w:qFormat/>
    <w:uiPriority w:val="0"/>
    <w:rPr>
      <w:i/>
      <w:iCs/>
    </w:rPr>
  </w:style>
  <w:style w:type="character" w:styleId="30">
    <w:name w:val="Hyperlink"/>
    <w:basedOn w:val="25"/>
    <w:qFormat/>
    <w:uiPriority w:val="0"/>
    <w:rPr>
      <w:color w:val="0000FF"/>
      <w:u w:val="single"/>
    </w:rPr>
  </w:style>
  <w:style w:type="character" w:styleId="31">
    <w:name w:val="HTML Code"/>
    <w:basedOn w:val="25"/>
    <w:qFormat/>
    <w:uiPriority w:val="0"/>
    <w:rPr>
      <w:rFonts w:ascii="Monaco" w:hAnsi="Monaco" w:eastAsia="Monaco" w:cs="Monaco"/>
      <w:color w:val="C7254E"/>
      <w:sz w:val="21"/>
      <w:szCs w:val="21"/>
      <w:shd w:val="clear" w:color="auto" w:fill="F9F2F4"/>
    </w:rPr>
  </w:style>
  <w:style w:type="character" w:styleId="32">
    <w:name w:val="annotation reference"/>
    <w:basedOn w:val="25"/>
    <w:qFormat/>
    <w:uiPriority w:val="0"/>
    <w:rPr>
      <w:sz w:val="21"/>
      <w:szCs w:val="21"/>
    </w:rPr>
  </w:style>
  <w:style w:type="character" w:styleId="33">
    <w:name w:val="HTML Keyboard"/>
    <w:basedOn w:val="25"/>
    <w:qFormat/>
    <w:uiPriority w:val="0"/>
    <w:rPr>
      <w:rFonts w:hint="default" w:ascii="Monaco" w:hAnsi="Monaco" w:eastAsia="Monaco" w:cs="Monaco"/>
      <w:color w:val="FFFFFF"/>
      <w:sz w:val="21"/>
      <w:szCs w:val="21"/>
      <w:shd w:val="clear" w:color="auto" w:fill="333333"/>
    </w:rPr>
  </w:style>
  <w:style w:type="character" w:styleId="34">
    <w:name w:val="HTML Sample"/>
    <w:basedOn w:val="25"/>
    <w:qFormat/>
    <w:uiPriority w:val="0"/>
    <w:rPr>
      <w:rFonts w:hint="default" w:ascii="Monaco" w:hAnsi="Monaco" w:eastAsia="Monaco" w:cs="Monaco"/>
      <w:sz w:val="21"/>
      <w:szCs w:val="21"/>
    </w:rPr>
  </w:style>
  <w:style w:type="paragraph" w:styleId="35">
    <w:name w:val="Quote"/>
    <w:next w:val="1"/>
    <w:qFormat/>
    <w:uiPriority w:val="0"/>
    <w:pPr>
      <w:wordWrap w:val="0"/>
      <w:spacing w:before="200" w:after="160"/>
      <w:ind w:left="864" w:right="864"/>
      <w:jc w:val="center"/>
    </w:pPr>
    <w:rPr>
      <w:rFonts w:ascii="Calibri" w:hAnsi="Calibri" w:eastAsia="宋体" w:cs="Times New Roman"/>
      <w:i/>
      <w:sz w:val="21"/>
      <w:lang w:val="en-US" w:eastAsia="zh-CN" w:bidi="ar-SA"/>
    </w:rPr>
  </w:style>
  <w:style w:type="character" w:customStyle="1" w:styleId="36">
    <w:name w:val="标题 1 字符"/>
    <w:link w:val="2"/>
    <w:qFormat/>
    <w:uiPriority w:val="9"/>
    <w:rPr>
      <w:kern w:val="44"/>
      <w:szCs w:val="44"/>
    </w:rPr>
  </w:style>
  <w:style w:type="paragraph" w:customStyle="1" w:styleId="37">
    <w:name w:val="文档正文"/>
    <w:qFormat/>
    <w:uiPriority w:val="0"/>
    <w:pPr>
      <w:widowControl w:val="0"/>
      <w:adjustRightInd w:val="0"/>
      <w:spacing w:line="500" w:lineRule="exact"/>
      <w:ind w:firstLine="567"/>
      <w:jc w:val="both"/>
      <w:textAlignment w:val="baseline"/>
    </w:pPr>
    <w:rPr>
      <w:rFonts w:ascii="仿宋_GB2312" w:hAnsi="Calibri" w:eastAsia="仿宋_GB2312" w:cs="Times New Roman"/>
      <w:kern w:val="2"/>
      <w:sz w:val="28"/>
      <w:szCs w:val="21"/>
      <w:lang w:val="en-US" w:eastAsia="zh-CN" w:bidi="ar-SA"/>
    </w:rPr>
  </w:style>
  <w:style w:type="paragraph" w:customStyle="1" w:styleId="38">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39">
    <w:name w:val="正文首行缩进 21"/>
    <w:basedOn w:val="40"/>
    <w:qFormat/>
    <w:uiPriority w:val="0"/>
    <w:pPr>
      <w:spacing w:after="120" w:line="240" w:lineRule="auto"/>
      <w:ind w:left="420" w:leftChars="200"/>
    </w:pPr>
  </w:style>
  <w:style w:type="paragraph" w:customStyle="1" w:styleId="40">
    <w:name w:val="正文文本缩进1"/>
    <w:basedOn w:val="1"/>
    <w:qFormat/>
    <w:uiPriority w:val="0"/>
    <w:pPr>
      <w:spacing w:line="360" w:lineRule="auto"/>
      <w:ind w:firstLine="420" w:firstLineChars="200"/>
    </w:pPr>
  </w:style>
  <w:style w:type="paragraph" w:customStyle="1" w:styleId="41">
    <w:name w:val="正文缩进1"/>
    <w:basedOn w:val="1"/>
    <w:qFormat/>
    <w:uiPriority w:val="0"/>
    <w:pPr>
      <w:ind w:firstLine="420"/>
    </w:pPr>
    <w:rPr>
      <w:szCs w:val="20"/>
    </w:rPr>
  </w:style>
  <w:style w:type="paragraph" w:customStyle="1" w:styleId="42">
    <w:name w:val="_Style 586"/>
    <w:basedOn w:val="1"/>
    <w:next w:val="43"/>
    <w:qFormat/>
    <w:uiPriority w:val="34"/>
    <w:pPr>
      <w:ind w:firstLine="420" w:firstLineChars="200"/>
    </w:pPr>
    <w:rPr>
      <w:szCs w:val="22"/>
    </w:rPr>
  </w:style>
  <w:style w:type="paragraph" w:customStyle="1" w:styleId="43">
    <w:name w:val="列表段落1"/>
    <w:basedOn w:val="1"/>
    <w:qFormat/>
    <w:uiPriority w:val="0"/>
    <w:pPr>
      <w:ind w:firstLine="420" w:firstLineChars="200"/>
    </w:pPr>
  </w:style>
  <w:style w:type="character" w:customStyle="1" w:styleId="44">
    <w:name w:val="页眉 Char"/>
    <w:basedOn w:val="25"/>
    <w:link w:val="17"/>
    <w:qFormat/>
    <w:uiPriority w:val="0"/>
    <w:rPr>
      <w:kern w:val="2"/>
      <w:sz w:val="18"/>
      <w:szCs w:val="18"/>
    </w:rPr>
  </w:style>
  <w:style w:type="character" w:customStyle="1" w:styleId="45">
    <w:name w:val="批注框文本 Char"/>
    <w:basedOn w:val="25"/>
    <w:link w:val="15"/>
    <w:qFormat/>
    <w:uiPriority w:val="0"/>
    <w:rPr>
      <w:kern w:val="2"/>
      <w:sz w:val="18"/>
      <w:szCs w:val="18"/>
    </w:rPr>
  </w:style>
  <w:style w:type="paragraph" w:customStyle="1" w:styleId="46">
    <w:name w:val="列出段落1"/>
    <w:basedOn w:val="1"/>
    <w:qFormat/>
    <w:uiPriority w:val="34"/>
    <w:pPr>
      <w:ind w:firstLine="420" w:firstLineChars="200"/>
    </w:pPr>
  </w:style>
  <w:style w:type="character" w:customStyle="1" w:styleId="47">
    <w:name w:val="批注文字 Char"/>
    <w:basedOn w:val="25"/>
    <w:link w:val="8"/>
    <w:qFormat/>
    <w:uiPriority w:val="99"/>
    <w:rPr>
      <w:rFonts w:ascii="宋体"/>
      <w:sz w:val="34"/>
    </w:rPr>
  </w:style>
  <w:style w:type="character" w:customStyle="1" w:styleId="48">
    <w:name w:val="批注主题 Char"/>
    <w:basedOn w:val="47"/>
    <w:link w:val="20"/>
    <w:qFormat/>
    <w:uiPriority w:val="0"/>
    <w:rPr>
      <w:rFonts w:ascii="宋体"/>
      <w:b/>
      <w:bCs/>
      <w:kern w:val="2"/>
      <w:sz w:val="21"/>
      <w:szCs w:val="24"/>
    </w:rPr>
  </w:style>
  <w:style w:type="character" w:customStyle="1" w:styleId="49">
    <w:name w:val="标题1"/>
    <w:qFormat/>
    <w:uiPriority w:val="0"/>
  </w:style>
  <w:style w:type="paragraph" w:customStyle="1" w:styleId="50">
    <w:name w:val="USE 1"/>
    <w:basedOn w:val="1"/>
    <w:qFormat/>
    <w:uiPriority w:val="0"/>
    <w:pPr>
      <w:spacing w:line="200" w:lineRule="atLeast"/>
      <w:jc w:val="left"/>
    </w:pPr>
    <w:rPr>
      <w:rFonts w:ascii="宋体" w:hAnsi="宋体"/>
      <w:b/>
      <w:sz w:val="24"/>
      <w:szCs w:val="28"/>
    </w:rPr>
  </w:style>
  <w:style w:type="paragraph" w:customStyle="1" w:styleId="51">
    <w:name w:val="列出段落2"/>
    <w:basedOn w:val="1"/>
    <w:qFormat/>
    <w:uiPriority w:val="99"/>
    <w:pPr>
      <w:ind w:firstLine="420" w:firstLineChars="200"/>
    </w:pPr>
  </w:style>
  <w:style w:type="paragraph" w:styleId="52">
    <w:name w:val="List Paragraph"/>
    <w:basedOn w:val="1"/>
    <w:qFormat/>
    <w:uiPriority w:val="99"/>
    <w:pPr>
      <w:ind w:firstLine="420" w:firstLineChars="200"/>
    </w:pPr>
  </w:style>
  <w:style w:type="paragraph" w:customStyle="1" w:styleId="53">
    <w:name w:val="表格文字"/>
    <w:qFormat/>
    <w:uiPriority w:val="0"/>
    <w:pPr>
      <w:adjustRightInd w:val="0"/>
      <w:snapToGrid w:val="0"/>
    </w:pPr>
    <w:rPr>
      <w:rFonts w:ascii="Calibri" w:hAnsi="Calibri" w:eastAsia="宋体" w:cs="Times New Roman"/>
      <w:kern w:val="2"/>
      <w:sz w:val="24"/>
      <w:szCs w:val="22"/>
      <w:lang w:val="en-US" w:eastAsia="zh-CN" w:bidi="ar-SA"/>
    </w:rPr>
  </w:style>
  <w:style w:type="character" w:customStyle="1" w:styleId="54">
    <w:name w:val="标题 1 Char"/>
    <w:link w:val="2"/>
    <w:qFormat/>
    <w:uiPriority w:val="0"/>
    <w:rPr>
      <w:rFonts w:ascii="宋体" w:hAnsi="宋体" w:eastAsia="黑体"/>
      <w:b/>
      <w:bCs/>
      <w:kern w:val="44"/>
      <w:sz w:val="28"/>
      <w:szCs w:val="44"/>
      <w:lang w:val="en-US" w:eastAsia="zh-CN" w:bidi="ar-SA"/>
    </w:rPr>
  </w:style>
  <w:style w:type="paragraph" w:customStyle="1" w:styleId="55">
    <w:name w:val="Default"/>
    <w:qFormat/>
    <w:uiPriority w:val="0"/>
    <w:pPr>
      <w:widowControl w:val="0"/>
      <w:autoSpaceDE w:val="0"/>
      <w:autoSpaceDN w:val="0"/>
      <w:adjustRightInd w:val="0"/>
    </w:pPr>
    <w:rPr>
      <w:rFonts w:ascii="Arial Narrow" w:hAnsi="Arial Narrow" w:eastAsia="宋体" w:cs="Times New Roman"/>
      <w:color w:val="000000"/>
      <w:sz w:val="24"/>
      <w:szCs w:val="24"/>
      <w:lang w:val="en-US" w:eastAsia="zh-CN" w:bidi="ar-SA"/>
    </w:rPr>
  </w:style>
  <w:style w:type="paragraph" w:customStyle="1" w:styleId="56">
    <w:name w:val="_Style 3"/>
    <w:next w:val="1"/>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57">
    <w:name w:val="NormalCharacter"/>
    <w:semiHidden/>
    <w:qFormat/>
    <w:uiPriority w:val="0"/>
    <w:rPr>
      <w:rFonts w:ascii="Calibri" w:hAnsi="Calibri" w:eastAsia="宋体" w:cs="Times New Roman"/>
      <w:kern w:val="2"/>
      <w:sz w:val="21"/>
      <w:szCs w:val="24"/>
      <w:lang w:val="en-US" w:eastAsia="zh-CN" w:bidi="ar-SA"/>
    </w:rPr>
  </w:style>
  <w:style w:type="paragraph" w:customStyle="1" w:styleId="58">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59">
    <w:name w:val="Char Char Char Char1"/>
    <w:basedOn w:val="1"/>
    <w:qFormat/>
    <w:uiPriority w:val="0"/>
    <w:rPr>
      <w:rFonts w:ascii="Calibri" w:hAnsi="Calibri" w:eastAsia="宋体" w:cs="Times New Roman"/>
      <w:snapToGrid w:val="0"/>
      <w:szCs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ICOS</Company>
  <Pages>112</Pages>
  <Words>4410</Words>
  <Characters>4534</Characters>
  <Lines>1</Lines>
  <Paragraphs>1</Paragraphs>
  <TotalTime>0</TotalTime>
  <ScaleCrop>false</ScaleCrop>
  <LinksUpToDate>false</LinksUpToDate>
  <CharactersWithSpaces>4579</CharactersWithSpaces>
  <Application>WPS Office_12.1.0.22483_F1E327BC-269C-435d-A152-05C5408002CA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2021-10-25T12:46:00Z</dcterms:created>
  <dc:creator>郑庆雄</dc:creator>
  <cp:lastModifiedBy>Li</cp:lastModifiedBy>
  <cp:lastPrinted>2025-07-17T09:58:00Z</cp:lastPrinted>
  <dcterms:modified xsi:type="dcterms:W3CDTF">2025-08-13T03:19:15Z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2052-12.1.0.22483</vt:lpwstr>
  </property>
  <property fmtid="{D5CDD505-2E9C-101B-9397-08002B2CF9AE}" pid="3" name="ICV">
    <vt:lpwstr>BCC6AA3EEB8A780C83BD9168315A016F</vt:lpwstr>
  </property>
  <property fmtid="{D5CDD505-2E9C-101B-9397-08002B2CF9AE}" pid="4" name="KSOTemplateDocerSaveRecord">
    <vt:lpwstr>eyJoZGlkIjoiMjA1ZTU5MzA5MDMxYWI1NWZlNjI4MjZlMmViMzdlNzYiLCJ1c2VySWQiOiI1NTg0MDgyNTcifQ==</vt:lpwstr>
  </property>
</Properties>
</file>